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3A3D45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0813F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22 </w:t>
                            </w:r>
                            <w:r w:rsidR="000A03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grudnia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3A3D45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0813F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22 </w:t>
                      </w:r>
                      <w:r w:rsidR="000A03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grudnia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Default="000813F3" w:rsidP="000813F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AWT przewiezie 60 </w:t>
      </w:r>
      <w:r w:rsidR="008F2845">
        <w:rPr>
          <w:rFonts w:ascii="Tahoma" w:hAnsi="Tahoma" w:cs="Tahoma"/>
          <w:b/>
          <w:bCs/>
          <w:sz w:val="22"/>
          <w:lang w:val="pl-PL"/>
        </w:rPr>
        <w:t>tys.</w:t>
      </w:r>
      <w:bookmarkStart w:id="0" w:name="_GoBack"/>
      <w:bookmarkEnd w:id="0"/>
      <w:r>
        <w:rPr>
          <w:rFonts w:ascii="Tahoma" w:hAnsi="Tahoma" w:cs="Tahoma"/>
          <w:b/>
          <w:bCs/>
          <w:sz w:val="22"/>
          <w:lang w:val="pl-PL"/>
        </w:rPr>
        <w:t xml:space="preserve"> ton drewna rocznie na Bałkanach</w:t>
      </w:r>
    </w:p>
    <w:p w:rsidR="00CA1574" w:rsidRDefault="00CA1574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CA1574" w:rsidRDefault="000813F3" w:rsidP="00EB260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AWT zdobyła kontrakt </w:t>
      </w:r>
      <w:r w:rsidR="00CA1574" w:rsidRPr="00CA1574">
        <w:rPr>
          <w:rFonts w:ascii="Tahoma" w:hAnsi="Tahoma" w:cs="Tahoma"/>
          <w:b/>
          <w:bCs/>
          <w:sz w:val="20"/>
          <w:szCs w:val="20"/>
          <w:lang w:val="pl-PL"/>
        </w:rPr>
        <w:t xml:space="preserve">na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przewozy 60 </w:t>
      </w:r>
      <w:r w:rsidR="008F2845">
        <w:rPr>
          <w:rFonts w:ascii="Tahoma" w:hAnsi="Tahoma" w:cs="Tahoma"/>
          <w:b/>
          <w:bCs/>
          <w:sz w:val="20"/>
          <w:szCs w:val="20"/>
          <w:lang w:val="pl-PL"/>
        </w:rPr>
        <w:t>tys.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ton drewna rocznie między Rumunią a Bośnią. Na podstawie nowej umowy czeski operator regularnie obsługuje pełne dwudziestowagonowe pociągi</w:t>
      </w:r>
      <w:r w:rsidRPr="00CA1574">
        <w:rPr>
          <w:rFonts w:ascii="Tahoma" w:hAnsi="Tahoma" w:cs="Tahoma"/>
          <w:b/>
          <w:bCs/>
          <w:sz w:val="20"/>
          <w:szCs w:val="20"/>
          <w:lang w:val="pl-PL"/>
        </w:rPr>
        <w:t xml:space="preserve"> z drewnem dla międzynarodowej spółki </w:t>
      </w:r>
      <w:r w:rsidR="0029010C">
        <w:rPr>
          <w:rFonts w:ascii="Tahoma" w:hAnsi="Tahoma" w:cs="Tahoma"/>
          <w:b/>
          <w:bCs/>
          <w:sz w:val="20"/>
          <w:szCs w:val="20"/>
          <w:lang w:val="pl-PL"/>
        </w:rPr>
        <w:t xml:space="preserve">z Austrii </w:t>
      </w:r>
      <w:r w:rsidRPr="00CA1574">
        <w:rPr>
          <w:rFonts w:ascii="Tahoma" w:hAnsi="Tahoma" w:cs="Tahoma"/>
          <w:b/>
          <w:bCs/>
          <w:sz w:val="20"/>
          <w:szCs w:val="20"/>
          <w:lang w:val="pl-PL"/>
        </w:rPr>
        <w:t xml:space="preserve">produkującej </w:t>
      </w:r>
      <w:r>
        <w:rPr>
          <w:rFonts w:ascii="Tahoma" w:hAnsi="Tahoma" w:cs="Tahoma"/>
          <w:b/>
          <w:bCs/>
          <w:sz w:val="20"/>
          <w:szCs w:val="20"/>
          <w:lang w:val="pl-PL"/>
        </w:rPr>
        <w:t>wyroby z drewna</w:t>
      </w:r>
      <w:r w:rsidRPr="00CA157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To kolejne ważne zlecenie na Bałkanach tej należącej do PKP CARGO grupy.</w:t>
      </w:r>
    </w:p>
    <w:p w:rsidR="00CA1574" w:rsidRPr="00CA1574" w:rsidRDefault="000813F3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Austriacki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klient Grupy AWT regularnie przewozi 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drewno pociągami z Bośni do Rumunii. </w:t>
      </w:r>
      <w:r>
        <w:rPr>
          <w:rFonts w:ascii="Tahoma" w:hAnsi="Tahoma" w:cs="Tahoma"/>
          <w:bCs/>
          <w:sz w:val="20"/>
          <w:szCs w:val="20"/>
          <w:lang w:val="pl-PL"/>
        </w:rPr>
        <w:t>Na podstawie nowego kontraktu s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półka AWT </w:t>
      </w:r>
      <w:proofErr w:type="spellStart"/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Čechofracht</w:t>
      </w:r>
      <w:proofErr w:type="spellEnd"/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 zapewni transport tych towarów o maksymalnych parametrach trakcyjnyc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h </w:t>
      </w:r>
      <w:r w:rsidR="00C05AD7">
        <w:rPr>
          <w:rFonts w:ascii="Tahoma" w:hAnsi="Tahoma" w:cs="Tahoma"/>
          <w:bCs/>
          <w:sz w:val="20"/>
          <w:szCs w:val="20"/>
          <w:lang w:val="pl-PL"/>
        </w:rPr>
        <w:t xml:space="preserve">(maksymalny dopuszczalny załadunek na jeden pociąg) </w:t>
      </w:r>
      <w:r>
        <w:rPr>
          <w:rFonts w:ascii="Tahoma" w:hAnsi="Tahoma" w:cs="Tahoma"/>
          <w:bCs/>
          <w:sz w:val="20"/>
          <w:szCs w:val="20"/>
          <w:lang w:val="pl-PL"/>
        </w:rPr>
        <w:t>na odcinku serbskim.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Spółka AWT </w:t>
      </w:r>
      <w:proofErr w:type="spellStart"/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Čechofracht</w:t>
      </w:r>
      <w:proofErr w:type="spellEnd"/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jest wieloletnim partnerem narodowych przewoźników </w:t>
      </w:r>
      <w:r w:rsidR="000813F3">
        <w:rPr>
          <w:rFonts w:ascii="Tahoma" w:hAnsi="Tahoma" w:cs="Tahoma"/>
          <w:bCs/>
          <w:i/>
          <w:sz w:val="20"/>
          <w:szCs w:val="20"/>
          <w:lang w:val="pl-PL"/>
        </w:rPr>
        <w:t xml:space="preserve">kolejowych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na Bałkanach. Postrzegana jest jako ważny, doświadczony spedytor, który bardzo dobrze zna lokalny rynek i jego specyfikę. Korzystając z najlepszych praktyk, wypracowanych podczas realizacji długoterminowych kontraktów, oferuje</w:t>
      </w:r>
      <w:r w:rsidR="0029010C">
        <w:rPr>
          <w:rFonts w:ascii="Tahoma" w:hAnsi="Tahoma" w:cs="Tahoma"/>
          <w:bCs/>
          <w:i/>
          <w:sz w:val="20"/>
          <w:szCs w:val="20"/>
          <w:lang w:val="pl-PL"/>
        </w:rPr>
        <w:t>my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klientom w całej Europie kompleksowe usługi w zakresie spedycji oraz transportu </w:t>
      </w:r>
      <w:r w:rsidR="000813F3">
        <w:rPr>
          <w:rFonts w:ascii="Tahoma" w:hAnsi="Tahoma" w:cs="Tahoma"/>
          <w:bCs/>
          <w:i/>
          <w:sz w:val="20"/>
          <w:szCs w:val="20"/>
          <w:lang w:val="pl-PL"/>
        </w:rPr>
        <w:t>intermodalnego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. To </w:t>
      </w:r>
      <w:r w:rsidR="000813F3">
        <w:rPr>
          <w:rFonts w:ascii="Tahoma" w:hAnsi="Tahoma" w:cs="Tahoma"/>
          <w:bCs/>
          <w:i/>
          <w:sz w:val="20"/>
          <w:szCs w:val="20"/>
          <w:lang w:val="pl-PL"/>
        </w:rPr>
        <w:t xml:space="preserve">nowe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zlecenie jest potwierdzeniem, że AWT jest rzetelnym przewoźnikiem kolejowym i spedytorem o znaczeniu europejskim</w:t>
      </w:r>
      <w:r w:rsidRPr="00CA157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0813F3">
        <w:rPr>
          <w:rFonts w:ascii="Tahoma" w:hAnsi="Tahoma" w:cs="Tahoma"/>
          <w:bCs/>
          <w:sz w:val="20"/>
          <w:szCs w:val="20"/>
          <w:lang w:val="pl-PL"/>
        </w:rPr>
        <w:t>–</w:t>
      </w:r>
      <w:r w:rsidRPr="00CA157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0813F3">
        <w:rPr>
          <w:rFonts w:ascii="Tahoma" w:hAnsi="Tahoma" w:cs="Tahoma"/>
          <w:bCs/>
          <w:sz w:val="20"/>
          <w:szCs w:val="20"/>
          <w:lang w:val="pl-PL"/>
        </w:rPr>
        <w:t xml:space="preserve">mówi </w:t>
      </w:r>
      <w:r w:rsidRPr="00CA1574">
        <w:rPr>
          <w:rFonts w:ascii="Tahoma" w:hAnsi="Tahoma" w:cs="Tahoma"/>
          <w:bCs/>
          <w:sz w:val="20"/>
          <w:szCs w:val="20"/>
          <w:lang w:val="pl-PL"/>
        </w:rPr>
        <w:t>Zbigniew Klepacki</w:t>
      </w:r>
      <w:r w:rsidR="000813F3">
        <w:rPr>
          <w:rFonts w:ascii="Tahoma" w:hAnsi="Tahoma" w:cs="Tahoma"/>
          <w:bCs/>
          <w:sz w:val="20"/>
          <w:szCs w:val="20"/>
          <w:lang w:val="pl-PL"/>
        </w:rPr>
        <w:t>, Dyrektor Generalny grupy AWT.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A1574" w:rsidRPr="00CA1574" w:rsidRDefault="000813F3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Należąca do G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rupy AWT spółka AWT </w:t>
      </w:r>
      <w:proofErr w:type="spellStart"/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Čechofracht</w:t>
      </w:r>
      <w:proofErr w:type="spellEnd"/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 to </w:t>
      </w:r>
      <w:r>
        <w:rPr>
          <w:rFonts w:ascii="Tahoma" w:hAnsi="Tahoma" w:cs="Tahoma"/>
          <w:bCs/>
          <w:sz w:val="20"/>
          <w:szCs w:val="20"/>
          <w:lang w:val="pl-PL"/>
        </w:rPr>
        <w:t>firma spedycyjna z tradycjami sięgającymi 1952 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r</w:t>
      </w:r>
      <w:r>
        <w:rPr>
          <w:rFonts w:ascii="Tahoma" w:hAnsi="Tahoma" w:cs="Tahoma"/>
          <w:bCs/>
          <w:sz w:val="20"/>
          <w:szCs w:val="20"/>
          <w:lang w:val="pl-PL"/>
        </w:rPr>
        <w:t>oku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. Od lat jest aktywnym przewoźnikiem międzynarodowym oraz jednym z</w:t>
      </w:r>
      <w:r w:rsidR="00CA1574">
        <w:rPr>
          <w:rFonts w:ascii="Tahoma" w:hAnsi="Tahoma" w:cs="Tahoma"/>
          <w:bCs/>
          <w:sz w:val="20"/>
          <w:szCs w:val="20"/>
          <w:lang w:val="pl-PL"/>
        </w:rPr>
        <w:t> 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największych spedytorów w </w:t>
      </w:r>
      <w:r>
        <w:rPr>
          <w:rFonts w:ascii="Tahoma" w:hAnsi="Tahoma" w:cs="Tahoma"/>
          <w:bCs/>
          <w:sz w:val="20"/>
          <w:szCs w:val="20"/>
          <w:lang w:val="pl-PL"/>
        </w:rPr>
        <w:t>Czechach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bCs/>
          <w:sz w:val="20"/>
          <w:szCs w:val="20"/>
          <w:lang w:val="pl-PL"/>
        </w:rPr>
        <w:t>W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e współpracy z PKP CARGO, drugim co do wielkości towarowym operatorem kol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ejowym w Europie, zapewnia ona 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kompleksową ofertę transport</w:t>
      </w:r>
      <w:r>
        <w:rPr>
          <w:rFonts w:ascii="Tahoma" w:hAnsi="Tahoma" w:cs="Tahoma"/>
          <w:bCs/>
          <w:sz w:val="20"/>
          <w:szCs w:val="20"/>
          <w:lang w:val="pl-PL"/>
        </w:rPr>
        <w:t>u towarów na liniach kolejowych, wykorzystując również transport morski i drogowy oraz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29010C">
        <w:rPr>
          <w:rFonts w:ascii="Tahoma" w:hAnsi="Tahoma" w:cs="Tahoma"/>
          <w:bCs/>
          <w:sz w:val="20"/>
          <w:szCs w:val="20"/>
          <w:lang w:val="pl-PL"/>
        </w:rPr>
        <w:t>oferując przeładunek i składowanie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>. Usługi spedycji kolejowej wykonuje za</w:t>
      </w:r>
      <w:r w:rsidR="0029010C">
        <w:rPr>
          <w:rFonts w:ascii="Tahoma" w:hAnsi="Tahoma" w:cs="Tahoma"/>
          <w:bCs/>
          <w:sz w:val="20"/>
          <w:szCs w:val="20"/>
          <w:lang w:val="pl-PL"/>
        </w:rPr>
        <w:t xml:space="preserve">równo dla klientów zewnętrznych, jak i 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w ramach kompleksowych rozwiązań przewozowych </w:t>
      </w:r>
      <w:r w:rsidR="0029010C">
        <w:rPr>
          <w:rFonts w:ascii="Tahoma" w:hAnsi="Tahoma" w:cs="Tahoma"/>
          <w:bCs/>
          <w:sz w:val="20"/>
          <w:szCs w:val="20"/>
          <w:lang w:val="pl-PL"/>
        </w:rPr>
        <w:t>przygotowanych dla konkretnego klienta, czyli tzw. 3PL S</w:t>
      </w:r>
      <w:r w:rsidR="00CA1574" w:rsidRPr="00CA1574">
        <w:rPr>
          <w:rFonts w:ascii="Tahoma" w:hAnsi="Tahoma" w:cs="Tahoma"/>
          <w:bCs/>
          <w:sz w:val="20"/>
          <w:szCs w:val="20"/>
          <w:lang w:val="pl-PL"/>
        </w:rPr>
        <w:t xml:space="preserve">olutions. 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W ramach świadczonych usług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 xml:space="preserve">możemy </w:t>
      </w:r>
      <w:r w:rsidR="00C05AD7">
        <w:rPr>
          <w:rFonts w:ascii="Tahoma" w:hAnsi="Tahoma" w:cs="Tahoma"/>
          <w:bCs/>
          <w:i/>
          <w:sz w:val="20"/>
          <w:szCs w:val="20"/>
          <w:lang w:val="pl-PL"/>
        </w:rPr>
        <w:t>szybko zwiększyć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C05AD7">
        <w:rPr>
          <w:rFonts w:ascii="Tahoma" w:hAnsi="Tahoma" w:cs="Tahoma"/>
          <w:bCs/>
          <w:i/>
          <w:sz w:val="20"/>
          <w:szCs w:val="20"/>
          <w:lang w:val="pl-PL"/>
        </w:rPr>
        <w:t xml:space="preserve">nasze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możliwości przewozowe 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 xml:space="preserve">poprzez pozyskanie dodatkowych wagonów z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rynku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>,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i w ten sposób uzupełnić własny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 xml:space="preserve">park taborowy.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W</w:t>
      </w:r>
      <w:r>
        <w:rPr>
          <w:rFonts w:ascii="Tahoma" w:hAnsi="Tahoma" w:cs="Tahoma"/>
          <w:bCs/>
          <w:i/>
          <w:sz w:val="20"/>
          <w:szCs w:val="20"/>
          <w:lang w:val="pl-PL"/>
        </w:rPr>
        <w:t> 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przeszłości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>za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inwestowaliśmy duże środki we wprowadzanie nowoczesnych systemów informatycznych. Dzięki temu oferujemy naszym klientom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>łatwy, elektroniczny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 xml:space="preserve">dostęp do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danych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>,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 xml:space="preserve"> począwszy od informacji o przesyłce, położeniu pociągu </w:t>
      </w:r>
      <w:r w:rsidR="00A77749">
        <w:rPr>
          <w:rFonts w:ascii="Tahoma" w:hAnsi="Tahoma" w:cs="Tahoma"/>
          <w:bCs/>
          <w:i/>
          <w:sz w:val="20"/>
          <w:szCs w:val="20"/>
          <w:lang w:val="pl-PL"/>
        </w:rPr>
        <w:t xml:space="preserve">i </w:t>
      </w:r>
      <w:r w:rsidRPr="00CA1574">
        <w:rPr>
          <w:rFonts w:ascii="Tahoma" w:hAnsi="Tahoma" w:cs="Tahoma"/>
          <w:bCs/>
          <w:i/>
          <w:sz w:val="20"/>
          <w:szCs w:val="20"/>
          <w:lang w:val="pl-PL"/>
        </w:rPr>
        <w:t>awizach, aż po szczegółowe dane do fakturowania</w:t>
      </w:r>
      <w:r w:rsidR="00A77749">
        <w:rPr>
          <w:rFonts w:ascii="Tahoma" w:hAnsi="Tahoma" w:cs="Tahoma"/>
          <w:bCs/>
          <w:sz w:val="20"/>
          <w:szCs w:val="20"/>
          <w:lang w:val="pl-PL"/>
        </w:rPr>
        <w:t xml:space="preserve"> – </w:t>
      </w:r>
      <w:r w:rsidRPr="00CA1574">
        <w:rPr>
          <w:rFonts w:ascii="Tahoma" w:hAnsi="Tahoma" w:cs="Tahoma"/>
          <w:bCs/>
          <w:sz w:val="20"/>
          <w:szCs w:val="20"/>
          <w:lang w:val="pl-PL"/>
        </w:rPr>
        <w:t>d</w:t>
      </w:r>
      <w:r w:rsidR="00A77749">
        <w:rPr>
          <w:rFonts w:ascii="Tahoma" w:hAnsi="Tahoma" w:cs="Tahoma"/>
          <w:bCs/>
          <w:sz w:val="20"/>
          <w:szCs w:val="20"/>
          <w:lang w:val="pl-PL"/>
        </w:rPr>
        <w:t>odaje</w:t>
      </w:r>
      <w:r w:rsidRPr="00CA1574">
        <w:rPr>
          <w:rFonts w:ascii="Tahoma" w:hAnsi="Tahoma" w:cs="Tahoma"/>
          <w:bCs/>
          <w:sz w:val="20"/>
          <w:szCs w:val="20"/>
          <w:lang w:val="pl-PL"/>
        </w:rPr>
        <w:t xml:space="preserve"> Viktor </w:t>
      </w:r>
      <w:proofErr w:type="spellStart"/>
      <w:r w:rsidRPr="00CA1574">
        <w:rPr>
          <w:rFonts w:ascii="Tahoma" w:hAnsi="Tahoma" w:cs="Tahoma"/>
          <w:bCs/>
          <w:sz w:val="20"/>
          <w:szCs w:val="20"/>
          <w:lang w:val="pl-PL"/>
        </w:rPr>
        <w:t>Bystrian</w:t>
      </w:r>
      <w:proofErr w:type="spellEnd"/>
      <w:r w:rsidRPr="00CA1574">
        <w:rPr>
          <w:rFonts w:ascii="Tahoma" w:hAnsi="Tahoma" w:cs="Tahoma"/>
          <w:bCs/>
          <w:sz w:val="20"/>
          <w:szCs w:val="20"/>
          <w:lang w:val="pl-PL"/>
        </w:rPr>
        <w:t>, Dyrektor Handlowy grupy AWT.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CA1574">
        <w:rPr>
          <w:rFonts w:ascii="Tahoma" w:hAnsi="Tahoma" w:cs="Tahoma"/>
          <w:b/>
          <w:bCs/>
          <w:sz w:val="20"/>
          <w:szCs w:val="20"/>
          <w:lang w:val="pl-PL"/>
        </w:rPr>
        <w:t>Kontakt: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A1574">
        <w:rPr>
          <w:rFonts w:ascii="Tahoma" w:hAnsi="Tahoma" w:cs="Tahoma"/>
          <w:bCs/>
          <w:sz w:val="20"/>
          <w:szCs w:val="20"/>
          <w:lang w:val="pl-PL"/>
        </w:rPr>
        <w:t>Lukáš Kresač</w:t>
      </w:r>
    </w:p>
    <w:p w:rsidR="00CA1574" w:rsidRP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A1574">
        <w:rPr>
          <w:rFonts w:ascii="Tahoma" w:hAnsi="Tahoma" w:cs="Tahoma"/>
          <w:bCs/>
          <w:sz w:val="20"/>
          <w:szCs w:val="20"/>
          <w:lang w:val="pl-PL"/>
        </w:rPr>
        <w:t>Rzecznik Prasowy</w:t>
      </w:r>
    </w:p>
    <w:p w:rsidR="00CA1574" w:rsidRDefault="00CA1574" w:rsidP="00CA1574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A1574">
        <w:rPr>
          <w:rFonts w:ascii="Tahoma" w:hAnsi="Tahoma" w:cs="Tahoma"/>
          <w:bCs/>
          <w:sz w:val="20"/>
          <w:szCs w:val="20"/>
          <w:lang w:val="pl-PL"/>
        </w:rPr>
        <w:t>Advanced World Transport</w:t>
      </w:r>
    </w:p>
    <w:p w:rsidR="006F41A7" w:rsidRPr="006F41A7" w:rsidRDefault="006F41A7" w:rsidP="006F41A7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F41A7">
        <w:rPr>
          <w:rFonts w:ascii="Tahoma" w:hAnsi="Tahoma" w:cs="Tahoma"/>
          <w:bCs/>
          <w:sz w:val="20"/>
          <w:szCs w:val="20"/>
          <w:lang w:val="pl-PL"/>
        </w:rPr>
        <w:t>+420 596 166 425</w:t>
      </w:r>
    </w:p>
    <w:p w:rsidR="006F41A7" w:rsidRPr="006F41A7" w:rsidRDefault="006F41A7" w:rsidP="006F41A7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F41A7">
        <w:rPr>
          <w:rFonts w:ascii="Tahoma" w:hAnsi="Tahoma" w:cs="Tahoma"/>
          <w:bCs/>
          <w:sz w:val="20"/>
          <w:szCs w:val="20"/>
          <w:lang w:val="pl-PL"/>
        </w:rPr>
        <w:t>+420 734 163 022</w:t>
      </w:r>
    </w:p>
    <w:p w:rsidR="006F41A7" w:rsidRPr="00CA1574" w:rsidRDefault="006F41A7" w:rsidP="006F41A7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F41A7">
        <w:rPr>
          <w:rFonts w:ascii="Tahoma" w:hAnsi="Tahoma" w:cs="Tahoma"/>
          <w:bCs/>
          <w:sz w:val="20"/>
          <w:szCs w:val="20"/>
          <w:lang w:val="pl-PL"/>
        </w:rPr>
        <w:t>kresac@awt.eu</w:t>
      </w:r>
    </w:p>
    <w:p w:rsidR="00780A93" w:rsidRDefault="00780A93" w:rsidP="00EB5668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2"/>
      <w:footerReference w:type="default" r:id="rId13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21" w:rsidRDefault="00EF0B21" w:rsidP="000650FD">
      <w:r>
        <w:separator/>
      </w:r>
    </w:p>
  </w:endnote>
  <w:endnote w:type="continuationSeparator" w:id="0">
    <w:p w:rsidR="00EF0B21" w:rsidRDefault="00EF0B21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21" w:rsidRDefault="00EF0B21" w:rsidP="000650FD">
      <w:r>
        <w:separator/>
      </w:r>
    </w:p>
  </w:footnote>
  <w:footnote w:type="continuationSeparator" w:id="0">
    <w:p w:rsidR="00EF0B21" w:rsidRDefault="00EF0B21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1D2"/>
    <w:rsid w:val="00060228"/>
    <w:rsid w:val="0006325E"/>
    <w:rsid w:val="00063441"/>
    <w:rsid w:val="000634C7"/>
    <w:rsid w:val="000650FD"/>
    <w:rsid w:val="00071C96"/>
    <w:rsid w:val="000731C2"/>
    <w:rsid w:val="000813F3"/>
    <w:rsid w:val="000878DB"/>
    <w:rsid w:val="00094EB2"/>
    <w:rsid w:val="000A0327"/>
    <w:rsid w:val="000A06DC"/>
    <w:rsid w:val="000A0794"/>
    <w:rsid w:val="000A166E"/>
    <w:rsid w:val="000A59AD"/>
    <w:rsid w:val="000C023C"/>
    <w:rsid w:val="000C30C7"/>
    <w:rsid w:val="000C3FDE"/>
    <w:rsid w:val="000D1378"/>
    <w:rsid w:val="000D536A"/>
    <w:rsid w:val="000E3251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66146"/>
    <w:rsid w:val="0017774D"/>
    <w:rsid w:val="00192A06"/>
    <w:rsid w:val="001958CB"/>
    <w:rsid w:val="001A559E"/>
    <w:rsid w:val="001D573F"/>
    <w:rsid w:val="001E24B0"/>
    <w:rsid w:val="00215C32"/>
    <w:rsid w:val="002373F8"/>
    <w:rsid w:val="00242E4E"/>
    <w:rsid w:val="00252D15"/>
    <w:rsid w:val="00256C20"/>
    <w:rsid w:val="00262320"/>
    <w:rsid w:val="00262956"/>
    <w:rsid w:val="002820B5"/>
    <w:rsid w:val="00282CCE"/>
    <w:rsid w:val="002845A7"/>
    <w:rsid w:val="0029010C"/>
    <w:rsid w:val="00291DA6"/>
    <w:rsid w:val="002A54EB"/>
    <w:rsid w:val="002A78F7"/>
    <w:rsid w:val="002B6DCD"/>
    <w:rsid w:val="002E7E59"/>
    <w:rsid w:val="002F2713"/>
    <w:rsid w:val="002F3EC0"/>
    <w:rsid w:val="002F48CD"/>
    <w:rsid w:val="0030636B"/>
    <w:rsid w:val="00315C45"/>
    <w:rsid w:val="00324C9E"/>
    <w:rsid w:val="00343FA2"/>
    <w:rsid w:val="0034529D"/>
    <w:rsid w:val="00353512"/>
    <w:rsid w:val="003605E7"/>
    <w:rsid w:val="00365B45"/>
    <w:rsid w:val="00372C70"/>
    <w:rsid w:val="00381075"/>
    <w:rsid w:val="00382A67"/>
    <w:rsid w:val="00390200"/>
    <w:rsid w:val="00394C8F"/>
    <w:rsid w:val="003A2415"/>
    <w:rsid w:val="003A37EC"/>
    <w:rsid w:val="003A3D45"/>
    <w:rsid w:val="003A47D5"/>
    <w:rsid w:val="003A6E03"/>
    <w:rsid w:val="003D3A12"/>
    <w:rsid w:val="003E1A1D"/>
    <w:rsid w:val="003E2F48"/>
    <w:rsid w:val="003E6320"/>
    <w:rsid w:val="003E795B"/>
    <w:rsid w:val="00404EBF"/>
    <w:rsid w:val="00406205"/>
    <w:rsid w:val="0041137E"/>
    <w:rsid w:val="00422899"/>
    <w:rsid w:val="00425BCF"/>
    <w:rsid w:val="00441AE1"/>
    <w:rsid w:val="00470EF8"/>
    <w:rsid w:val="00482B9B"/>
    <w:rsid w:val="00482E84"/>
    <w:rsid w:val="00494876"/>
    <w:rsid w:val="004B6C1F"/>
    <w:rsid w:val="004D2C48"/>
    <w:rsid w:val="004D3D7C"/>
    <w:rsid w:val="004E4347"/>
    <w:rsid w:val="004F2285"/>
    <w:rsid w:val="00503E6D"/>
    <w:rsid w:val="00504BF3"/>
    <w:rsid w:val="00504E85"/>
    <w:rsid w:val="00512592"/>
    <w:rsid w:val="0051313F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A1ADE"/>
    <w:rsid w:val="005B499F"/>
    <w:rsid w:val="005C0B92"/>
    <w:rsid w:val="005C3C77"/>
    <w:rsid w:val="005D094D"/>
    <w:rsid w:val="005D7F2A"/>
    <w:rsid w:val="005F4566"/>
    <w:rsid w:val="00601731"/>
    <w:rsid w:val="00631191"/>
    <w:rsid w:val="006320F7"/>
    <w:rsid w:val="00633635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15E5"/>
    <w:rsid w:val="006E371D"/>
    <w:rsid w:val="006E79B5"/>
    <w:rsid w:val="006F41A7"/>
    <w:rsid w:val="006F469A"/>
    <w:rsid w:val="006F6107"/>
    <w:rsid w:val="0070202B"/>
    <w:rsid w:val="007044E1"/>
    <w:rsid w:val="00733EAB"/>
    <w:rsid w:val="007542C8"/>
    <w:rsid w:val="00762CA8"/>
    <w:rsid w:val="00764653"/>
    <w:rsid w:val="00776E04"/>
    <w:rsid w:val="00780A93"/>
    <w:rsid w:val="00786651"/>
    <w:rsid w:val="00791D76"/>
    <w:rsid w:val="00796492"/>
    <w:rsid w:val="007A1FA1"/>
    <w:rsid w:val="007D3506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23E0"/>
    <w:rsid w:val="00885773"/>
    <w:rsid w:val="00890B57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24F7"/>
    <w:rsid w:val="008F2845"/>
    <w:rsid w:val="008F3421"/>
    <w:rsid w:val="008F482C"/>
    <w:rsid w:val="008F5245"/>
    <w:rsid w:val="008F6D80"/>
    <w:rsid w:val="0091198E"/>
    <w:rsid w:val="0092492D"/>
    <w:rsid w:val="009252E7"/>
    <w:rsid w:val="009253DA"/>
    <w:rsid w:val="00932927"/>
    <w:rsid w:val="00937350"/>
    <w:rsid w:val="00960714"/>
    <w:rsid w:val="00980517"/>
    <w:rsid w:val="00982B9C"/>
    <w:rsid w:val="009A715C"/>
    <w:rsid w:val="009B2B61"/>
    <w:rsid w:val="009D394C"/>
    <w:rsid w:val="009D4448"/>
    <w:rsid w:val="009E145F"/>
    <w:rsid w:val="009E3BF3"/>
    <w:rsid w:val="009F133F"/>
    <w:rsid w:val="00A01714"/>
    <w:rsid w:val="00A1085A"/>
    <w:rsid w:val="00A109AE"/>
    <w:rsid w:val="00A15A51"/>
    <w:rsid w:val="00A45B93"/>
    <w:rsid w:val="00A77749"/>
    <w:rsid w:val="00A84610"/>
    <w:rsid w:val="00AA4B41"/>
    <w:rsid w:val="00AB18E0"/>
    <w:rsid w:val="00AB63C7"/>
    <w:rsid w:val="00AB7528"/>
    <w:rsid w:val="00AC224A"/>
    <w:rsid w:val="00AD71CD"/>
    <w:rsid w:val="00AF1776"/>
    <w:rsid w:val="00B0377E"/>
    <w:rsid w:val="00B050C1"/>
    <w:rsid w:val="00B07D8B"/>
    <w:rsid w:val="00B168EC"/>
    <w:rsid w:val="00B32CEB"/>
    <w:rsid w:val="00B342F1"/>
    <w:rsid w:val="00B73593"/>
    <w:rsid w:val="00B75CA1"/>
    <w:rsid w:val="00B81443"/>
    <w:rsid w:val="00B926F4"/>
    <w:rsid w:val="00BB76C2"/>
    <w:rsid w:val="00BD0E55"/>
    <w:rsid w:val="00BD3CD4"/>
    <w:rsid w:val="00BF5F53"/>
    <w:rsid w:val="00BF7016"/>
    <w:rsid w:val="00C0401B"/>
    <w:rsid w:val="00C059B3"/>
    <w:rsid w:val="00C05AD7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A1574"/>
    <w:rsid w:val="00CC45C8"/>
    <w:rsid w:val="00CD2CE3"/>
    <w:rsid w:val="00CE489B"/>
    <w:rsid w:val="00CE78AA"/>
    <w:rsid w:val="00D01348"/>
    <w:rsid w:val="00D17520"/>
    <w:rsid w:val="00D20134"/>
    <w:rsid w:val="00D32582"/>
    <w:rsid w:val="00D45D2D"/>
    <w:rsid w:val="00D64F04"/>
    <w:rsid w:val="00D64F14"/>
    <w:rsid w:val="00D817AC"/>
    <w:rsid w:val="00D91476"/>
    <w:rsid w:val="00D968AD"/>
    <w:rsid w:val="00D9729B"/>
    <w:rsid w:val="00DA0593"/>
    <w:rsid w:val="00DA743D"/>
    <w:rsid w:val="00DB27BC"/>
    <w:rsid w:val="00DC032F"/>
    <w:rsid w:val="00DC0611"/>
    <w:rsid w:val="00DC118B"/>
    <w:rsid w:val="00DC765E"/>
    <w:rsid w:val="00DE4461"/>
    <w:rsid w:val="00DE4C8A"/>
    <w:rsid w:val="00DE6DB6"/>
    <w:rsid w:val="00DE6F7B"/>
    <w:rsid w:val="00DF244C"/>
    <w:rsid w:val="00E011A7"/>
    <w:rsid w:val="00E15A30"/>
    <w:rsid w:val="00E21B9E"/>
    <w:rsid w:val="00E330C3"/>
    <w:rsid w:val="00E43EDA"/>
    <w:rsid w:val="00E4611A"/>
    <w:rsid w:val="00E47284"/>
    <w:rsid w:val="00E65BC7"/>
    <w:rsid w:val="00E66A36"/>
    <w:rsid w:val="00E66C42"/>
    <w:rsid w:val="00E962F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F0B21"/>
    <w:rsid w:val="00EF65C6"/>
    <w:rsid w:val="00F00994"/>
    <w:rsid w:val="00F029AE"/>
    <w:rsid w:val="00F043CC"/>
    <w:rsid w:val="00F1726B"/>
    <w:rsid w:val="00F223EC"/>
    <w:rsid w:val="00F32922"/>
    <w:rsid w:val="00F32A13"/>
    <w:rsid w:val="00F32F93"/>
    <w:rsid w:val="00F35E10"/>
    <w:rsid w:val="00F6436A"/>
    <w:rsid w:val="00F67F7F"/>
    <w:rsid w:val="00F76F5F"/>
    <w:rsid w:val="00F77720"/>
    <w:rsid w:val="00F80AA5"/>
    <w:rsid w:val="00F8401B"/>
    <w:rsid w:val="00F94893"/>
    <w:rsid w:val="00F97CA7"/>
    <w:rsid w:val="00FA01A8"/>
    <w:rsid w:val="00FC4193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C6B312-6BC0-4C86-ADED-64178E01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MS</cp:lastModifiedBy>
  <cp:revision>4</cp:revision>
  <cp:lastPrinted>2015-09-21T08:23:00Z</cp:lastPrinted>
  <dcterms:created xsi:type="dcterms:W3CDTF">2015-12-22T11:24:00Z</dcterms:created>
  <dcterms:modified xsi:type="dcterms:W3CDTF">2015-12-22T11:48:00Z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