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B14D42" w:rsidRPr="00B14D42" w:rsidRDefault="00B14D42" w:rsidP="00B14D42">
      <w:pPr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 w:rsidRPr="00B14D42">
        <w:rPr>
          <w:rFonts w:ascii="Tahoma" w:hAnsi="Tahoma" w:cs="Tahoma"/>
          <w:b/>
          <w:bCs/>
          <w:sz w:val="22"/>
          <w:szCs w:val="22"/>
        </w:rPr>
        <w:t>Koniec sporu zbiorowego w PKP CARGO</w:t>
      </w:r>
    </w:p>
    <w:p w:rsidR="00AB7BFA" w:rsidRDefault="00AB7BFA" w:rsidP="00AB7BFA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 ramach prowadzonego dialogu pomiędzy Zarządem a Stroną Społeczną, </w:t>
      </w:r>
      <w:r>
        <w:rPr>
          <w:rFonts w:ascii="Tahoma" w:hAnsi="Tahoma" w:cs="Tahoma"/>
          <w:b/>
          <w:bCs/>
          <w:sz w:val="22"/>
          <w:szCs w:val="22"/>
        </w:rPr>
        <w:br/>
        <w:t xml:space="preserve">w środę 11 lutego wypracowano porozumienie kończące spór zbiorowy w PKP CARGO. Stosowne dokumenty zostały podpisane po wielogodzinnych negocjacjach prowadzonych w spokojnej i merytorycznej atmosferze. Środowe spotkanie było dwunastym na którym dyskutowano o postulatach. </w:t>
      </w:r>
    </w:p>
    <w:p w:rsidR="00AB7BFA" w:rsidRDefault="00AB7BFA" w:rsidP="00AB7BFA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Podczas negocjacji strony skupiły się na sześciu głównych kwestiach, m.in. wypłaty dodatku motywacyjnego dla maszynistów-instruktorów czy dodatku alokacyjnego dla pracowników, którzy w następstwie dostosowywania struktury zatrudnienia do bieżących potrzeb spółki, pracują poza miejscem zamieszkania.</w:t>
      </w:r>
    </w:p>
    <w:p w:rsidR="00AB7BFA" w:rsidRDefault="00AB7BFA" w:rsidP="00AB7BFA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 xml:space="preserve">- Po raz kolejny wspólnie ze stroną społeczną udowodniliśmy, że możemy dojść do porozumienia w ważnych dla pracowników naszej spółki kwestiach merytorycznych. Wypracowane porozumienie odzwierciedla także zmianę wewnątrz PKP CARGO. Chcemy być spółką elastyczną, szybko reagującą na potrzeby naszych klientów. Kończymy spór i wspólnie  realizujemy strategię rozwoju naszej firmy – </w:t>
      </w:r>
      <w:r>
        <w:rPr>
          <w:rFonts w:ascii="Tahoma" w:hAnsi="Tahoma" w:cs="Tahoma"/>
        </w:rPr>
        <w:t>mówi Adam Purwin, prezes zarządu PKP CARGO.</w:t>
      </w:r>
    </w:p>
    <w:p w:rsidR="00AB7BFA" w:rsidRDefault="00AB7BFA" w:rsidP="00AB7BFA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ostatnich miesiącach PKP CARGO przeszło szereg zmian zwiększających efektywność działania. W 2014 roku przeprowadzono łączenie zakładów, pionizację struktury oraz konsolidację spółek zależnych odpowiedzialnych za naprawę taboru. Na przełomie 2014 i 2015 roku w PKP CARGO przeprowadzony został bardzo dobrze przyjęty przez pracowników Program Dobrowolnych Odejść, w wyniku którego 1 lutego firmę opuściło ponad 3 tysiące osób. Oszczędności z tego tytułu wyniosą min. 100 mln zł rocznie. </w:t>
      </w:r>
    </w:p>
    <w:p w:rsidR="00AB7BFA" w:rsidRDefault="00AB7BFA" w:rsidP="00AB7BFA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te były przeprowadzone z poszanowaniem Paktu Gwarancji Pracowniczych, zawartego w 2013 roku. Na mocy tego porozumienia 95 proc. pracowników PKP CARGO obejmują wieloletnie gwarancje zatrudnienia. Dodatkowo, ponad 20 tys. pracowników otrzymało akcje pracownicze i w ramach tzw. premii prywatyzacyjnej jest akcjonariuszami Spółki z pełnym prawem do dywidendy. Akcje te będą mogły być sprzedane przez pracowników 30 października 2015 roku. Średnia wartość akcji w posiadaniu jednego pracownika to obecnie ok. 5 tys. zł (jest uzależniona od kursu akcji PKP CARGO na GPW).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BF110C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lastRenderedPageBreak/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wchodzą spółki zależne, m.in. Cargosped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0C" w:rsidRDefault="00BF110C">
      <w:r>
        <w:separator/>
      </w:r>
    </w:p>
  </w:endnote>
  <w:endnote w:type="continuationSeparator" w:id="0">
    <w:p w:rsidR="00BF110C" w:rsidRDefault="00B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5pt;height:1.35pt" o:ole="" fillcolor="window">
          <v:imagedata r:id="rId1" o:title=""/>
        </v:shape>
        <o:OLEObject Type="Embed" ProgID="CorelDRAW.Graphic.11" ShapeID="_x0000_i1025" DrawAspect="Content" ObjectID="_1485244484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0C" w:rsidRDefault="00BF110C">
      <w:r>
        <w:separator/>
      </w:r>
    </w:p>
  </w:footnote>
  <w:footnote w:type="continuationSeparator" w:id="0">
    <w:p w:rsidR="00BF110C" w:rsidRDefault="00BF1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6D" w:rsidRDefault="00E951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6D" w:rsidRDefault="00E9516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1D2278">
      <w:rPr>
        <w:rFonts w:ascii="Tahoma" w:hAnsi="Tahoma" w:cs="Tahoma"/>
        <w:sz w:val="20"/>
        <w:szCs w:val="20"/>
      </w:rPr>
      <w:t>1</w:t>
    </w:r>
    <w:r w:rsidR="00B14D42">
      <w:rPr>
        <w:rFonts w:ascii="Tahoma" w:hAnsi="Tahoma" w:cs="Tahoma"/>
        <w:sz w:val="20"/>
        <w:szCs w:val="20"/>
      </w:rPr>
      <w:t>2</w:t>
    </w:r>
    <w:r w:rsidR="00E9516D">
      <w:rPr>
        <w:rFonts w:ascii="Tahoma" w:hAnsi="Tahoma" w:cs="Tahoma"/>
        <w:sz w:val="20"/>
        <w:szCs w:val="20"/>
      </w:rPr>
      <w:t xml:space="preserve"> lutego</w:t>
    </w:r>
    <w:bookmarkStart w:id="0" w:name="_GoBack"/>
    <w:bookmarkEnd w:id="0"/>
    <w:r w:rsidR="00081329">
      <w:rPr>
        <w:rFonts w:ascii="Tahoma" w:hAnsi="Tahoma" w:cs="Tahoma"/>
        <w:sz w:val="20"/>
        <w:szCs w:val="20"/>
      </w:rPr>
      <w:t xml:space="preserve"> 2015 r</w:t>
    </w:r>
    <w:r w:rsidR="0012581A">
      <w:rPr>
        <w:rFonts w:ascii="Tahoma" w:hAnsi="Tahoma" w:cs="Tahoma"/>
        <w:sz w:val="20"/>
        <w:szCs w:val="20"/>
      </w:rPr>
      <w:t>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1D2C"/>
    <w:rsid w:val="000551BF"/>
    <w:rsid w:val="00081329"/>
    <w:rsid w:val="0008409B"/>
    <w:rsid w:val="000953D3"/>
    <w:rsid w:val="00095F69"/>
    <w:rsid w:val="000A3C48"/>
    <w:rsid w:val="000B6493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46B15"/>
    <w:rsid w:val="00152061"/>
    <w:rsid w:val="001521BC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D2278"/>
    <w:rsid w:val="001D576A"/>
    <w:rsid w:val="001D634E"/>
    <w:rsid w:val="001E2145"/>
    <w:rsid w:val="001F3A7D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3331D"/>
    <w:rsid w:val="00335D51"/>
    <w:rsid w:val="00336AD7"/>
    <w:rsid w:val="00337AC8"/>
    <w:rsid w:val="00342959"/>
    <w:rsid w:val="00346986"/>
    <w:rsid w:val="00355A60"/>
    <w:rsid w:val="00360658"/>
    <w:rsid w:val="003752C3"/>
    <w:rsid w:val="00382E09"/>
    <w:rsid w:val="00387A89"/>
    <w:rsid w:val="0039311E"/>
    <w:rsid w:val="00393A1D"/>
    <w:rsid w:val="00394F5E"/>
    <w:rsid w:val="003958EA"/>
    <w:rsid w:val="003A0941"/>
    <w:rsid w:val="003A2BAD"/>
    <w:rsid w:val="003B2DF7"/>
    <w:rsid w:val="003B4DBF"/>
    <w:rsid w:val="003B52DD"/>
    <w:rsid w:val="003B71B6"/>
    <w:rsid w:val="003C4B47"/>
    <w:rsid w:val="003D7879"/>
    <w:rsid w:val="003E7058"/>
    <w:rsid w:val="003E7379"/>
    <w:rsid w:val="003F0720"/>
    <w:rsid w:val="003F27AA"/>
    <w:rsid w:val="0040365E"/>
    <w:rsid w:val="004046C6"/>
    <w:rsid w:val="00407FD4"/>
    <w:rsid w:val="00414590"/>
    <w:rsid w:val="0041584F"/>
    <w:rsid w:val="00420F90"/>
    <w:rsid w:val="0042543B"/>
    <w:rsid w:val="00425611"/>
    <w:rsid w:val="00425DF2"/>
    <w:rsid w:val="00427D7F"/>
    <w:rsid w:val="00431A2B"/>
    <w:rsid w:val="00432272"/>
    <w:rsid w:val="004358A6"/>
    <w:rsid w:val="00452754"/>
    <w:rsid w:val="0045434F"/>
    <w:rsid w:val="0045656A"/>
    <w:rsid w:val="004613AA"/>
    <w:rsid w:val="004658D8"/>
    <w:rsid w:val="00477783"/>
    <w:rsid w:val="00482E17"/>
    <w:rsid w:val="00484037"/>
    <w:rsid w:val="004A2C24"/>
    <w:rsid w:val="004B515F"/>
    <w:rsid w:val="004C4EA3"/>
    <w:rsid w:val="004D3658"/>
    <w:rsid w:val="004D7575"/>
    <w:rsid w:val="004E6242"/>
    <w:rsid w:val="00501468"/>
    <w:rsid w:val="00511E50"/>
    <w:rsid w:val="00514348"/>
    <w:rsid w:val="00520871"/>
    <w:rsid w:val="00522C99"/>
    <w:rsid w:val="00524455"/>
    <w:rsid w:val="0053512D"/>
    <w:rsid w:val="00540CE3"/>
    <w:rsid w:val="00543C1E"/>
    <w:rsid w:val="00545040"/>
    <w:rsid w:val="00551CD8"/>
    <w:rsid w:val="005644E3"/>
    <w:rsid w:val="00565BB8"/>
    <w:rsid w:val="00582F08"/>
    <w:rsid w:val="0058380E"/>
    <w:rsid w:val="005C3721"/>
    <w:rsid w:val="005C6EA6"/>
    <w:rsid w:val="005D6428"/>
    <w:rsid w:val="005F4AA4"/>
    <w:rsid w:val="005F5C68"/>
    <w:rsid w:val="005F6DF5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A3535"/>
    <w:rsid w:val="006B27DE"/>
    <w:rsid w:val="006B3B1A"/>
    <w:rsid w:val="006B43EE"/>
    <w:rsid w:val="006C5E4A"/>
    <w:rsid w:val="006C6336"/>
    <w:rsid w:val="006D4149"/>
    <w:rsid w:val="006E5997"/>
    <w:rsid w:val="006F3F75"/>
    <w:rsid w:val="00700B32"/>
    <w:rsid w:val="00701B5E"/>
    <w:rsid w:val="00710EB2"/>
    <w:rsid w:val="00715525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7F0D02"/>
    <w:rsid w:val="00800E17"/>
    <w:rsid w:val="0080138E"/>
    <w:rsid w:val="00803BCC"/>
    <w:rsid w:val="00806DF1"/>
    <w:rsid w:val="008142F2"/>
    <w:rsid w:val="00817553"/>
    <w:rsid w:val="00820A6B"/>
    <w:rsid w:val="008420C1"/>
    <w:rsid w:val="00852E3A"/>
    <w:rsid w:val="008533AB"/>
    <w:rsid w:val="00867480"/>
    <w:rsid w:val="008743C4"/>
    <w:rsid w:val="008858D8"/>
    <w:rsid w:val="008933C2"/>
    <w:rsid w:val="00893BC8"/>
    <w:rsid w:val="00894BA6"/>
    <w:rsid w:val="00896235"/>
    <w:rsid w:val="008967AF"/>
    <w:rsid w:val="008A63DD"/>
    <w:rsid w:val="008A7081"/>
    <w:rsid w:val="008B1E91"/>
    <w:rsid w:val="008B46C2"/>
    <w:rsid w:val="008C3B80"/>
    <w:rsid w:val="008C5977"/>
    <w:rsid w:val="008D14B2"/>
    <w:rsid w:val="008D7557"/>
    <w:rsid w:val="008E140D"/>
    <w:rsid w:val="008F1234"/>
    <w:rsid w:val="00902C2D"/>
    <w:rsid w:val="009033CE"/>
    <w:rsid w:val="0091604D"/>
    <w:rsid w:val="0091609F"/>
    <w:rsid w:val="00921514"/>
    <w:rsid w:val="00930812"/>
    <w:rsid w:val="00932D73"/>
    <w:rsid w:val="00944605"/>
    <w:rsid w:val="00946D86"/>
    <w:rsid w:val="009573AA"/>
    <w:rsid w:val="00962FB0"/>
    <w:rsid w:val="00967182"/>
    <w:rsid w:val="009817A6"/>
    <w:rsid w:val="00986721"/>
    <w:rsid w:val="00986EFC"/>
    <w:rsid w:val="00990723"/>
    <w:rsid w:val="00991259"/>
    <w:rsid w:val="00996BFC"/>
    <w:rsid w:val="00997D5F"/>
    <w:rsid w:val="009A4DE9"/>
    <w:rsid w:val="009C56DC"/>
    <w:rsid w:val="009D3441"/>
    <w:rsid w:val="009D5989"/>
    <w:rsid w:val="009E366F"/>
    <w:rsid w:val="009F3C48"/>
    <w:rsid w:val="009F7CD7"/>
    <w:rsid w:val="00A006B5"/>
    <w:rsid w:val="00A0564E"/>
    <w:rsid w:val="00A0640A"/>
    <w:rsid w:val="00A12BCD"/>
    <w:rsid w:val="00A157CA"/>
    <w:rsid w:val="00A249E5"/>
    <w:rsid w:val="00A25166"/>
    <w:rsid w:val="00A26F3B"/>
    <w:rsid w:val="00A32298"/>
    <w:rsid w:val="00A46CAB"/>
    <w:rsid w:val="00A53D62"/>
    <w:rsid w:val="00A643A3"/>
    <w:rsid w:val="00A7738C"/>
    <w:rsid w:val="00A9605D"/>
    <w:rsid w:val="00AA15BF"/>
    <w:rsid w:val="00AA2D68"/>
    <w:rsid w:val="00AA766C"/>
    <w:rsid w:val="00AB7BFA"/>
    <w:rsid w:val="00AD067D"/>
    <w:rsid w:val="00AD181F"/>
    <w:rsid w:val="00AD58F3"/>
    <w:rsid w:val="00AF63C9"/>
    <w:rsid w:val="00B07C0B"/>
    <w:rsid w:val="00B118B4"/>
    <w:rsid w:val="00B1478E"/>
    <w:rsid w:val="00B14D42"/>
    <w:rsid w:val="00B320B1"/>
    <w:rsid w:val="00B343CF"/>
    <w:rsid w:val="00B43297"/>
    <w:rsid w:val="00B62DB5"/>
    <w:rsid w:val="00B83D0A"/>
    <w:rsid w:val="00B84C6E"/>
    <w:rsid w:val="00B96250"/>
    <w:rsid w:val="00BA0F01"/>
    <w:rsid w:val="00BB1548"/>
    <w:rsid w:val="00BB15CA"/>
    <w:rsid w:val="00BD1167"/>
    <w:rsid w:val="00BD508E"/>
    <w:rsid w:val="00BD7248"/>
    <w:rsid w:val="00BF110C"/>
    <w:rsid w:val="00BF5960"/>
    <w:rsid w:val="00C0218B"/>
    <w:rsid w:val="00C05773"/>
    <w:rsid w:val="00C071B8"/>
    <w:rsid w:val="00C16D8B"/>
    <w:rsid w:val="00C21A78"/>
    <w:rsid w:val="00C27A99"/>
    <w:rsid w:val="00C509BD"/>
    <w:rsid w:val="00C50B62"/>
    <w:rsid w:val="00C52258"/>
    <w:rsid w:val="00C57CAF"/>
    <w:rsid w:val="00CA1B09"/>
    <w:rsid w:val="00CA5FFC"/>
    <w:rsid w:val="00CA7F10"/>
    <w:rsid w:val="00CC6160"/>
    <w:rsid w:val="00CF3090"/>
    <w:rsid w:val="00CF5C11"/>
    <w:rsid w:val="00CF7F5A"/>
    <w:rsid w:val="00D05521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623CF"/>
    <w:rsid w:val="00D962D1"/>
    <w:rsid w:val="00DA3520"/>
    <w:rsid w:val="00DA6F89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2A12"/>
    <w:rsid w:val="00E04D24"/>
    <w:rsid w:val="00E14108"/>
    <w:rsid w:val="00E15496"/>
    <w:rsid w:val="00E163F5"/>
    <w:rsid w:val="00E17AF8"/>
    <w:rsid w:val="00E17BFE"/>
    <w:rsid w:val="00E20ABE"/>
    <w:rsid w:val="00E25A44"/>
    <w:rsid w:val="00E46A28"/>
    <w:rsid w:val="00E5760A"/>
    <w:rsid w:val="00E670F2"/>
    <w:rsid w:val="00E7070B"/>
    <w:rsid w:val="00E73784"/>
    <w:rsid w:val="00E77963"/>
    <w:rsid w:val="00E91D78"/>
    <w:rsid w:val="00E9516D"/>
    <w:rsid w:val="00E96800"/>
    <w:rsid w:val="00EA45E8"/>
    <w:rsid w:val="00EA6FD5"/>
    <w:rsid w:val="00EB40B9"/>
    <w:rsid w:val="00EB6B88"/>
    <w:rsid w:val="00ED17B2"/>
    <w:rsid w:val="00EE082B"/>
    <w:rsid w:val="00EE12DB"/>
    <w:rsid w:val="00EE2183"/>
    <w:rsid w:val="00EE3C2E"/>
    <w:rsid w:val="00EF0F87"/>
    <w:rsid w:val="00EF14D4"/>
    <w:rsid w:val="00F17D62"/>
    <w:rsid w:val="00F20804"/>
    <w:rsid w:val="00F2389E"/>
    <w:rsid w:val="00F24655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38C4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42F1-C96A-4678-B97C-BD7AF8D1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3879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5</cp:revision>
  <cp:lastPrinted>2014-10-30T05:38:00Z</cp:lastPrinted>
  <dcterms:created xsi:type="dcterms:W3CDTF">2015-02-12T08:18:00Z</dcterms:created>
  <dcterms:modified xsi:type="dcterms:W3CDTF">2015-02-12T10:08:00Z</dcterms:modified>
</cp:coreProperties>
</file>