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025DAD" w:rsidP="00025DAD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 w:rsidRPr="00025DAD">
        <w:rPr>
          <w:rFonts w:ascii="Tahoma" w:hAnsi="Tahoma" w:cs="Tahoma"/>
          <w:b/>
          <w:sz w:val="22"/>
          <w:szCs w:val="22"/>
        </w:rPr>
        <w:t xml:space="preserve">Nowe kontrakty intermodalne – Grupa PKP CARGO </w:t>
      </w:r>
      <w:r>
        <w:rPr>
          <w:rFonts w:ascii="Tahoma" w:hAnsi="Tahoma" w:cs="Tahoma"/>
          <w:b/>
          <w:sz w:val="22"/>
          <w:szCs w:val="22"/>
        </w:rPr>
        <w:br/>
      </w:r>
      <w:r w:rsidRPr="00025DAD">
        <w:rPr>
          <w:rFonts w:ascii="Tahoma" w:hAnsi="Tahoma" w:cs="Tahoma"/>
          <w:b/>
          <w:sz w:val="22"/>
          <w:szCs w:val="22"/>
        </w:rPr>
        <w:t>przewozi coraz więcej towarów z Chin do Europy</w:t>
      </w:r>
    </w:p>
    <w:p w:rsidR="00025DAD" w:rsidRDefault="00025DAD" w:rsidP="00025DAD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 ciągu zaledwie pół roku Grupa PKP CARGO pozyskała nowe kontrakty na kompleksową obsługę logistyczną przewozu kontenerów z Chin do Europy – z prowincji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Henan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, Syczuan Yunnan do Niemiec i Holandii. To łącznie siedem połączeń w tygodniu, z perspektywą rozwoju do dziesięciu.</w:t>
      </w:r>
    </w:p>
    <w:p w:rsidR="00025DAD" w:rsidRDefault="00025DAD" w:rsidP="00025DAD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- Nowe kontrakty są rezultatem aktywnej polityki handlowej Grupy PKP CARGO. Nasi partnerzy doceniają fakt, że kolej jest szybką i pewną alternatywą dla transportu morskiego. Liczymy na dalszy dynamiczny rozwój naszej działalności w obszarze spedycji i przewozów intermodalnych </w:t>
      </w:r>
      <w:r>
        <w:rPr>
          <w:rFonts w:ascii="Tahoma" w:hAnsi="Tahoma" w:cs="Tahoma"/>
          <w:sz w:val="20"/>
          <w:szCs w:val="20"/>
        </w:rPr>
        <w:t>– mówi Jacek Neska, członek zarządu PKP CARGO ds. handlowych.</w:t>
      </w:r>
    </w:p>
    <w:p w:rsidR="00025DAD" w:rsidRDefault="00025DAD" w:rsidP="00025DAD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Obsługa połączeń z Chin przez Grupę PKP CARGO dotyczy odcinka od granicy polsko-białoruskiej do punktu docelowego. Obejmuje ona m.in. usługę przewozu, zapewnienie wagonów oraz dostarczenie pozostałych usług usługi spedycyjne i obsługę terminalową.</w:t>
      </w:r>
    </w:p>
    <w:p w:rsidR="00025DAD" w:rsidRDefault="00025DAD" w:rsidP="00025DAD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Każdy z obsługiwanych przez Grupę PKP CARGO pociągów kontenerowych z Chi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n przejeżdża przez należące do Grupy centrum logistyczne w Małaszewiczach, położone przy granicy polsko-białoruskiej. Ze względu na konieczność przeładunku kontenerów ze wschodniego szerokiego toru na wagony normalnotorowe, Małaszewicze stanowią dla pociągów ze Wschodu bramę do Europy.</w:t>
      </w:r>
    </w:p>
    <w:p w:rsidR="00025DAD" w:rsidRDefault="00025DAD" w:rsidP="00025DAD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czerwcu 2015 roku PKP CARGO podpisało z chińskim partnerem Zhengzhou International Hub umowę, przewidującą wspólne inwestycje w Małaszewiczach w ramach Nowego Szlaku Jedwabnego. Tamtejsze centrum logistyczne ma zostać w przyszłości rozbudowane, by móc przeładowywać większe wolumeny kontenerów z Chin do Europy. PKP CARGO chce także świadczyć dodatkowe usługi logistyczne, np. magazynowanie i konfekcjonowanie towarów, a także rozwijać połączenia w odwrotnym kierunku.</w:t>
      </w:r>
    </w:p>
    <w:p w:rsidR="00025DAD" w:rsidRDefault="00025DAD" w:rsidP="00025DAD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przewozach towarów z Chin do Europy dominuje obecnie transport morski. Zaledwie 3,5 proc. eksportu z Państwa Środka do Unii Europejskiej trafia drogą lądową, pomimo zalet tego rozwiązania </w:t>
      </w:r>
      <w:r>
        <w:rPr>
          <w:rFonts w:ascii="Tahoma" w:hAnsi="Tahoma" w:cs="Tahoma"/>
          <w:sz w:val="20"/>
          <w:szCs w:val="20"/>
        </w:rPr>
        <w:br/>
        <w:t>– znacznie niższych kosztów w porównaniu do transportu lotniczego oraz nawet kilkukrotnie krótszego czasu przewozu w porównaniu do transportu morskiego. Przewóz ładunku koleją z centralnych Chin do Niemiec trwa od 11 do 14 dni, podczas gdy drogą morską zajmuje nawet 35-40 dni.</w:t>
      </w:r>
    </w:p>
    <w:p w:rsidR="00025DAD" w:rsidRDefault="00025DAD" w:rsidP="00025DAD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Przewozy kontenerów to najbardziej perspektywiczny segment kolejowego transportu towarowego. Będąc liderem przewozów intermodalnych w Polsce z 50-proc. udziałem w rynku, PKP CARGO inwestuje zarówno w infrastrukturę przeładunkową, jak i tabor. W ostatnich miesiącach spółka odebrała nowoczesne platformy intermodalne do transportu kontenerów oraz ogłosiła przetarg na zakup lokomotyw wielosystemowych do obsługi połączeń transgranicznych.</w:t>
      </w:r>
    </w:p>
    <w:p w:rsidR="002812B7" w:rsidRPr="003D02BB" w:rsidRDefault="00025DAD" w:rsidP="00025DAD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PKP CARGO jest największym towarowym przewoźnikiem kolejowym w Polsce, z udziałem w rynku przekraczającym 47 proc. w ujęciu masy i 57 proc. w ujęciu pracy przewozowej (2014). Oprócz przewozów towarów koleją, Grupa PKP CARGO jest również spedytorem oraz operatorem terminali i bocznic. Zajmuje się też naprawą i utrzymaniem taboru kolejowego.</w:t>
      </w:r>
    </w:p>
    <w:p w:rsidR="00EA6FD5" w:rsidRDefault="00EA6FD5" w:rsidP="00A7738C">
      <w:pPr>
        <w:tabs>
          <w:tab w:val="left" w:pos="6507"/>
        </w:tabs>
        <w:rPr>
          <w:rFonts w:ascii="Tahoma" w:hAnsi="Tahoma" w:cs="Tahoma"/>
          <w:sz w:val="22"/>
          <w:szCs w:val="22"/>
        </w:rPr>
      </w:pPr>
    </w:p>
    <w:p w:rsidR="00025DAD" w:rsidRDefault="00025DAD" w:rsidP="00133E20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025DAD" w:rsidRDefault="00025DAD" w:rsidP="00133E20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133E20" w:rsidRDefault="00133E20" w:rsidP="00133E20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133E20" w:rsidRPr="00133E20" w:rsidRDefault="00133E20" w:rsidP="00133E20">
      <w:pPr>
        <w:rPr>
          <w:rFonts w:eastAsia="Calibri"/>
        </w:rPr>
      </w:pPr>
    </w:p>
    <w:p w:rsidR="00133E20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Biuro Prasowe PKP CARGO</w:t>
      </w:r>
    </w:p>
    <w:p w:rsidR="00133E20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(+ 48) 663 290</w:t>
      </w:r>
      <w:r>
        <w:rPr>
          <w:rFonts w:ascii="Tahoma" w:hAnsi="Tahoma" w:cs="Tahoma"/>
        </w:rPr>
        <w:t> </w:t>
      </w:r>
      <w:r w:rsidRPr="00215B67">
        <w:rPr>
          <w:rFonts w:ascii="Tahoma" w:hAnsi="Tahoma" w:cs="Tahoma"/>
        </w:rPr>
        <w:t>777</w:t>
      </w:r>
    </w:p>
    <w:p w:rsidR="00133E20" w:rsidRPr="00DB1E92" w:rsidRDefault="00361020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hyperlink r:id="rId9" w:history="1">
        <w:r w:rsidR="00133E20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133E20" w:rsidRPr="00945545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133E20" w:rsidRDefault="00133E20" w:rsidP="00133E20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</w:t>
      </w:r>
      <w:proofErr w:type="spellStart"/>
      <w:r>
        <w:rPr>
          <w:rFonts w:ascii="Tahoma" w:hAnsi="Tahoma" w:cs="Tahoma"/>
          <w:sz w:val="16"/>
          <w:szCs w:val="16"/>
        </w:rPr>
        <w:t>Cargosped</w:t>
      </w:r>
      <w:proofErr w:type="spellEnd"/>
      <w:r>
        <w:rPr>
          <w:rFonts w:ascii="Tahoma" w:hAnsi="Tahoma" w:cs="Tahoma"/>
          <w:sz w:val="16"/>
          <w:szCs w:val="16"/>
        </w:rPr>
        <w:t>), krajową i międzynarodowa spedycję kolejową (PS Trade Trans) oraz serwis i utrzymanie taboru (PKP CARGOTABOR).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133E20" w:rsidRPr="0001165A" w:rsidRDefault="00133E20" w:rsidP="00133E20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</w:p>
    <w:p w:rsidR="00FD38E7" w:rsidRPr="0001165A" w:rsidRDefault="00FD38E7" w:rsidP="00133E20">
      <w:pPr>
        <w:pStyle w:val="Nagwek1"/>
        <w:rPr>
          <w:rFonts w:ascii="Tahoma" w:hAnsi="Tahoma" w:cs="Tahoma"/>
          <w:sz w:val="16"/>
          <w:szCs w:val="16"/>
        </w:rPr>
      </w:pP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20" w:rsidRDefault="00361020">
      <w:r>
        <w:separator/>
      </w:r>
    </w:p>
  </w:endnote>
  <w:endnote w:type="continuationSeparator" w:id="0">
    <w:p w:rsidR="00361020" w:rsidRDefault="0036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D" w:rsidRDefault="009C3B3D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9C3B3D" w:rsidRDefault="009C3B3D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15pt" o:ole="" fillcolor="window">
          <v:imagedata r:id="rId1" o:title=""/>
        </v:shape>
        <o:OLEObject Type="Embed" ProgID="CorelDRAW.Graphic.11" ShapeID="_x0000_i1025" DrawAspect="Content" ObjectID="_1499288952" r:id="rId2"/>
      </w:object>
    </w:r>
  </w:p>
  <w:p w:rsidR="009C3B3D" w:rsidRDefault="009C3B3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9C3B3D" w:rsidRDefault="009C3B3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9C3B3D" w:rsidRDefault="009C3B3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9C3B3D" w:rsidRDefault="009C3B3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9C3B3D" w:rsidRDefault="009C3B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D" w:rsidRDefault="009C3B3D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9C3B3D" w:rsidRPr="00E525CC" w:rsidRDefault="009C3B3D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9C3B3D" w:rsidRPr="00E525CC" w:rsidRDefault="009C3B3D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9C3B3D" w:rsidRPr="00E525CC" w:rsidRDefault="009C3B3D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9C3B3D" w:rsidRPr="002743BB" w:rsidRDefault="009C3B3D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D" w:rsidRDefault="009C3B3D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9C3B3D" w:rsidRPr="00E525CC" w:rsidRDefault="009C3B3D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9C3B3D" w:rsidRPr="00E525CC" w:rsidRDefault="009C3B3D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9C3B3D" w:rsidRPr="00E525CC" w:rsidRDefault="009C3B3D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9C3B3D" w:rsidRDefault="009C3B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20" w:rsidRDefault="00361020">
      <w:r>
        <w:separator/>
      </w:r>
    </w:p>
  </w:footnote>
  <w:footnote w:type="continuationSeparator" w:id="0">
    <w:p w:rsidR="00361020" w:rsidRDefault="0036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D" w:rsidRPr="00152061" w:rsidRDefault="009C3B3D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0"/>
        <w:szCs w:val="20"/>
      </w:rPr>
      <w:t xml:space="preserve">Warszawa, </w:t>
    </w:r>
    <w:r w:rsidR="00F55DE2">
      <w:rPr>
        <w:rFonts w:ascii="Tahoma" w:hAnsi="Tahoma" w:cs="Tahoma"/>
        <w:sz w:val="20"/>
        <w:szCs w:val="20"/>
      </w:rPr>
      <w:t>29</w:t>
    </w:r>
    <w:r>
      <w:rPr>
        <w:rFonts w:ascii="Tahoma" w:hAnsi="Tahoma" w:cs="Tahoma"/>
        <w:sz w:val="20"/>
        <w:szCs w:val="20"/>
      </w:rPr>
      <w:t xml:space="preserve"> lipca 2015 r.</w:t>
    </w:r>
  </w:p>
  <w:p w:rsidR="009C3B3D" w:rsidRDefault="009C3B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079F6"/>
    <w:rsid w:val="0001165A"/>
    <w:rsid w:val="000204B8"/>
    <w:rsid w:val="00025DAD"/>
    <w:rsid w:val="00027368"/>
    <w:rsid w:val="0003317F"/>
    <w:rsid w:val="0003517B"/>
    <w:rsid w:val="00041F62"/>
    <w:rsid w:val="000551BF"/>
    <w:rsid w:val="00083BC7"/>
    <w:rsid w:val="0008409B"/>
    <w:rsid w:val="000953D3"/>
    <w:rsid w:val="00095F69"/>
    <w:rsid w:val="000A3C48"/>
    <w:rsid w:val="000B5FE7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33E20"/>
    <w:rsid w:val="001425EB"/>
    <w:rsid w:val="00145CA0"/>
    <w:rsid w:val="00152061"/>
    <w:rsid w:val="00155B82"/>
    <w:rsid w:val="001642E3"/>
    <w:rsid w:val="00181F0D"/>
    <w:rsid w:val="00186D3D"/>
    <w:rsid w:val="00190FBE"/>
    <w:rsid w:val="001A3FE1"/>
    <w:rsid w:val="001B7536"/>
    <w:rsid w:val="001C07C9"/>
    <w:rsid w:val="001C0FB7"/>
    <w:rsid w:val="001C136B"/>
    <w:rsid w:val="001D576A"/>
    <w:rsid w:val="001D634E"/>
    <w:rsid w:val="001E2145"/>
    <w:rsid w:val="00201CFE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812B7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AC8"/>
    <w:rsid w:val="00342959"/>
    <w:rsid w:val="00346986"/>
    <w:rsid w:val="00355A60"/>
    <w:rsid w:val="0036102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D3658"/>
    <w:rsid w:val="004D7575"/>
    <w:rsid w:val="004E6242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C3721"/>
    <w:rsid w:val="005C3E5F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7BC3"/>
    <w:rsid w:val="0073405D"/>
    <w:rsid w:val="0073506A"/>
    <w:rsid w:val="007412E2"/>
    <w:rsid w:val="00746F84"/>
    <w:rsid w:val="00751CC4"/>
    <w:rsid w:val="007541C7"/>
    <w:rsid w:val="00756B1B"/>
    <w:rsid w:val="00770AF6"/>
    <w:rsid w:val="00771389"/>
    <w:rsid w:val="0078548B"/>
    <w:rsid w:val="00794CDC"/>
    <w:rsid w:val="007959CD"/>
    <w:rsid w:val="007A31B4"/>
    <w:rsid w:val="007A5B22"/>
    <w:rsid w:val="007B777F"/>
    <w:rsid w:val="007C32DE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21D75"/>
    <w:rsid w:val="008420C1"/>
    <w:rsid w:val="00846BE7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C3B3D"/>
    <w:rsid w:val="009D3441"/>
    <w:rsid w:val="009E366F"/>
    <w:rsid w:val="009F3C48"/>
    <w:rsid w:val="009F7CD7"/>
    <w:rsid w:val="00A006B5"/>
    <w:rsid w:val="00A0564E"/>
    <w:rsid w:val="00A10187"/>
    <w:rsid w:val="00A12BCD"/>
    <w:rsid w:val="00A157CA"/>
    <w:rsid w:val="00A32298"/>
    <w:rsid w:val="00A37661"/>
    <w:rsid w:val="00A46CAB"/>
    <w:rsid w:val="00A53D62"/>
    <w:rsid w:val="00A643A3"/>
    <w:rsid w:val="00A7738C"/>
    <w:rsid w:val="00A861B3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7CAF"/>
    <w:rsid w:val="00CA1B09"/>
    <w:rsid w:val="00CA5FFC"/>
    <w:rsid w:val="00CA7F10"/>
    <w:rsid w:val="00CF3090"/>
    <w:rsid w:val="00CF5C11"/>
    <w:rsid w:val="00CF7F5A"/>
    <w:rsid w:val="00D10653"/>
    <w:rsid w:val="00D1272C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E082B"/>
    <w:rsid w:val="00EE12DB"/>
    <w:rsid w:val="00EE17E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55DE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A861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A86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C52E-13AF-48E5-9AD9-46693A0D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4840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4</cp:revision>
  <cp:lastPrinted>2014-03-03T10:32:00Z</cp:lastPrinted>
  <dcterms:created xsi:type="dcterms:W3CDTF">2015-07-23T08:33:00Z</dcterms:created>
  <dcterms:modified xsi:type="dcterms:W3CDTF">2015-07-24T22:23:00Z</dcterms:modified>
</cp:coreProperties>
</file>