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780A93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Katowice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5A30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780A93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Katowice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15A30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B0377E">
        <w:rPr>
          <w:rFonts w:ascii="Tahoma" w:hAnsi="Tahoma" w:cs="Tahoma"/>
          <w:color w:val="56565A"/>
          <w:lang w:val="pl-PL"/>
        </w:rPr>
        <w:tab/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780A93" w:rsidRPr="00780A93" w:rsidRDefault="00780A93" w:rsidP="00780A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780A93">
        <w:rPr>
          <w:rFonts w:ascii="Tahoma" w:hAnsi="Tahoma" w:cs="Tahoma"/>
          <w:b/>
          <w:bCs/>
          <w:sz w:val="22"/>
          <w:lang w:val="pl-PL"/>
        </w:rPr>
        <w:t xml:space="preserve">PKP CARGO poszuka z ARP </w:t>
      </w:r>
    </w:p>
    <w:p w:rsidR="00422899" w:rsidRPr="00796492" w:rsidRDefault="00780A93" w:rsidP="00780A93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780A93">
        <w:rPr>
          <w:rFonts w:ascii="Tahoma" w:hAnsi="Tahoma" w:cs="Tahoma"/>
          <w:b/>
          <w:bCs/>
          <w:sz w:val="22"/>
          <w:lang w:val="pl-PL"/>
        </w:rPr>
        <w:t>innowacyjnych rozwiązań biznesowych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422899" w:rsidRDefault="00EB260D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/>
          <w:bCs/>
          <w:sz w:val="20"/>
          <w:szCs w:val="20"/>
          <w:lang w:val="pl-PL"/>
        </w:rPr>
        <w:t>PKP CARGO we współpracy z Agencją Rozwoju Przemysłu będzie szukać innowacyjnych ro</w:t>
      </w:r>
      <w:r w:rsidR="00EE7886">
        <w:rPr>
          <w:rFonts w:ascii="Tahoma" w:hAnsi="Tahoma" w:cs="Tahoma"/>
          <w:b/>
          <w:bCs/>
          <w:sz w:val="20"/>
          <w:szCs w:val="20"/>
          <w:lang w:val="pl-PL"/>
        </w:rPr>
        <w:t>związań dla swojego biznesu. P</w:t>
      </w:r>
      <w:r w:rsidRPr="00EB260D">
        <w:rPr>
          <w:rFonts w:ascii="Tahoma" w:hAnsi="Tahoma" w:cs="Tahoma"/>
          <w:b/>
          <w:bCs/>
          <w:sz w:val="20"/>
          <w:szCs w:val="20"/>
          <w:lang w:val="pl-PL"/>
        </w:rPr>
        <w:t>odmioty podpisały 6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października list intencyjny o </w:t>
      </w:r>
      <w:r w:rsidRPr="00EB260D">
        <w:rPr>
          <w:rFonts w:ascii="Tahoma" w:hAnsi="Tahoma" w:cs="Tahoma"/>
          <w:b/>
          <w:bCs/>
          <w:sz w:val="20"/>
          <w:szCs w:val="20"/>
          <w:lang w:val="pl-PL"/>
        </w:rPr>
        <w:t>wspólnym działaniu w ramach należącej do ARP Platformy Transferu Technologii. W ten sposób PKP CARGO chce zachęcić start-</w:t>
      </w:r>
      <w:proofErr w:type="spellStart"/>
      <w:r w:rsidRPr="00EB260D">
        <w:rPr>
          <w:rFonts w:ascii="Tahoma" w:hAnsi="Tahoma" w:cs="Tahoma"/>
          <w:b/>
          <w:bCs/>
          <w:sz w:val="20"/>
          <w:szCs w:val="20"/>
          <w:lang w:val="pl-PL"/>
        </w:rPr>
        <w:t>upy</w:t>
      </w:r>
      <w:proofErr w:type="spellEnd"/>
      <w:r w:rsidRPr="00EB260D">
        <w:rPr>
          <w:rFonts w:ascii="Tahoma" w:hAnsi="Tahoma" w:cs="Tahoma"/>
          <w:b/>
          <w:bCs/>
          <w:sz w:val="20"/>
          <w:szCs w:val="20"/>
          <w:lang w:val="pl-PL"/>
        </w:rPr>
        <w:t xml:space="preserve"> i naukowców do szukania rozwiązań odpowiadających swoim potrzebom biznesowym</w:t>
      </w:r>
      <w:r w:rsidR="00E43EDA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780A93" w:rsidRPr="00E64977" w:rsidRDefault="00EB260D" w:rsidP="00780A9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Współpraca z ARP wpisuje się w strategię PKP CARGO zakładającą wdrażanie nowoczesnych rozwiązań do codziennego biznesu. Największy polski przewoźnik kolejowy szuka ulepszeń na wielu polach. Chce m.in. zastosować systemy optymalizacji przewozów i pracy terminali konwencjonalnych, oraz systemy zarządzania, monitorowania i zabezpieczenia taboru na bocznicach i terminalach przeładunkowych. Cenne dla PKP CARGO są również technologie zmniejszania zużycia energii elektrycznej, paliwa </w:t>
      </w:r>
      <w:r w:rsidRPr="00E64977">
        <w:rPr>
          <w:rFonts w:ascii="Tahoma" w:hAnsi="Tahoma" w:cs="Tahoma"/>
          <w:bCs/>
          <w:sz w:val="20"/>
          <w:szCs w:val="20"/>
          <w:lang w:val="pl-PL"/>
        </w:rPr>
        <w:t>trakcyjnego i redukcji hałasu oraz nowoczesne rozwiązania w zakresie budowy taboru i kontenerów na potrzeby transportu intermodalnego</w:t>
      </w:r>
      <w:r w:rsidR="00780A93" w:rsidRPr="00E6497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780A93" w:rsidRPr="00E64977" w:rsidRDefault="00EB260D" w:rsidP="00780A9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 xml:space="preserve">- Szukamy innowacyjnych rozwiązań, pozyskując do tego najlepszych partnerów – </w:t>
      </w:r>
      <w:r w:rsidRPr="00E64977">
        <w:rPr>
          <w:rFonts w:ascii="Tahoma" w:hAnsi="Tahoma" w:cs="Tahoma"/>
          <w:bCs/>
          <w:sz w:val="20"/>
          <w:szCs w:val="20"/>
          <w:lang w:val="pl-PL"/>
        </w:rPr>
        <w:t xml:space="preserve">mówi </w:t>
      </w:r>
      <w:r w:rsidR="005D32E8" w:rsidRPr="00E64977">
        <w:rPr>
          <w:rFonts w:ascii="Tahoma" w:hAnsi="Tahoma" w:cs="Tahoma"/>
          <w:bCs/>
          <w:sz w:val="20"/>
          <w:szCs w:val="20"/>
          <w:lang w:val="pl-PL"/>
        </w:rPr>
        <w:t xml:space="preserve">Wojciech Derda, </w:t>
      </w:r>
      <w:r w:rsidR="00E62B1D" w:rsidRPr="00E64977">
        <w:rPr>
          <w:rFonts w:ascii="Tahoma" w:hAnsi="Tahoma" w:cs="Tahoma"/>
          <w:bCs/>
          <w:sz w:val="20"/>
          <w:szCs w:val="20"/>
          <w:lang w:val="pl-PL"/>
        </w:rPr>
        <w:t>Członek Zarządu PKP CARGO ds. Operacyjnych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. – W Polsce działa wiele kreatywnych przedsiębiorców oraz start-</w:t>
      </w:r>
      <w:proofErr w:type="spellStart"/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upów</w:t>
      </w:r>
      <w:proofErr w:type="spellEnd"/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, którzy mogą wnieść do naszej</w:t>
      </w:r>
      <w:r w:rsidR="00A222E3">
        <w:rPr>
          <w:rFonts w:ascii="Tahoma" w:hAnsi="Tahoma" w:cs="Tahoma"/>
          <w:bCs/>
          <w:i/>
          <w:sz w:val="20"/>
          <w:szCs w:val="20"/>
          <w:lang w:val="pl-PL"/>
        </w:rPr>
        <w:t xml:space="preserve"> działalności świeże spojrzenie 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i</w:t>
      </w:r>
      <w:r w:rsidR="00A222E3">
        <w:rPr>
          <w:rFonts w:ascii="Tahoma" w:hAnsi="Tahoma" w:cs="Tahoma"/>
          <w:bCs/>
          <w:i/>
          <w:sz w:val="20"/>
          <w:szCs w:val="20"/>
          <w:lang w:val="pl-PL"/>
        </w:rPr>
        <w:t> 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 xml:space="preserve">nowoczesne rozwiązania. Wszystko po to, by dalej pracować nad efektywnością i tworzeniem najlepszej oferty naszych klientów – </w:t>
      </w:r>
      <w:r w:rsidRPr="00E64977">
        <w:rPr>
          <w:rFonts w:ascii="Tahoma" w:hAnsi="Tahoma" w:cs="Tahoma"/>
          <w:bCs/>
          <w:sz w:val="20"/>
          <w:szCs w:val="20"/>
          <w:lang w:val="pl-PL"/>
        </w:rPr>
        <w:t xml:space="preserve">dodaje </w:t>
      </w:r>
      <w:r w:rsidR="00E62B1D" w:rsidRPr="00E64977">
        <w:rPr>
          <w:rFonts w:ascii="Tahoma" w:hAnsi="Tahoma" w:cs="Tahoma"/>
          <w:bCs/>
          <w:sz w:val="20"/>
          <w:szCs w:val="20"/>
          <w:lang w:val="pl-PL"/>
        </w:rPr>
        <w:t>Wojciech Derda</w:t>
      </w:r>
      <w:r w:rsidR="00780A93" w:rsidRPr="00E6497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B260D" w:rsidRPr="00E64977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64977">
        <w:rPr>
          <w:rFonts w:ascii="Tahoma" w:hAnsi="Tahoma" w:cs="Tahoma"/>
          <w:bCs/>
          <w:sz w:val="20"/>
          <w:szCs w:val="20"/>
          <w:lang w:val="pl-PL"/>
        </w:rPr>
        <w:t>PKP CARGO zakomunikowało zapotrzebowanie na nowe technologie za pośrednictwem Platformy Transferu Technologii ARP S.A. Dzięki działaniom podjętym przez ARP S.A. i ARP Venture Sp. z o.o., udało się już zaproponować technologię poszukiwaną przez PKP CARGO związaną z lokomotywami manewrowymi. PKP CARGO jest obecnie na etapie bezpośredniego kontaktu z przedsiębiorstwem, które może dostarczyć poszukiwane rozwiązanie.</w:t>
      </w:r>
    </w:p>
    <w:p w:rsidR="00780A93" w:rsidRPr="00E64977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64977">
        <w:rPr>
          <w:rFonts w:ascii="Tahoma" w:hAnsi="Tahoma" w:cs="Tahoma"/>
          <w:bCs/>
          <w:sz w:val="20"/>
          <w:szCs w:val="20"/>
          <w:lang w:val="pl-PL"/>
        </w:rPr>
        <w:t>Platforma Transferu Technologii (PTT) pozwala przedsiębiorcom na bezpośredni dostęp do</w:t>
      </w:r>
      <w:r w:rsidR="00A222E3">
        <w:rPr>
          <w:rFonts w:ascii="Tahoma" w:hAnsi="Tahoma" w:cs="Tahoma"/>
          <w:bCs/>
          <w:sz w:val="20"/>
          <w:szCs w:val="20"/>
          <w:lang w:val="pl-PL"/>
        </w:rPr>
        <w:t> </w:t>
      </w:r>
      <w:r w:rsidRPr="00E64977">
        <w:rPr>
          <w:rFonts w:ascii="Tahoma" w:hAnsi="Tahoma" w:cs="Tahoma"/>
          <w:bCs/>
          <w:sz w:val="20"/>
          <w:szCs w:val="20"/>
          <w:lang w:val="pl-PL"/>
        </w:rPr>
        <w:t>innowacyjnych rozwiązań. Istotną cechą PTT jest także możliwość zgłoszenia za jej pośrednictwem zapotrzebowania na dany rodzaj technologii</w:t>
      </w:r>
      <w:r w:rsidR="00780A93" w:rsidRPr="00E6497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780A93" w:rsidRPr="00780A93" w:rsidRDefault="00780A93" w:rsidP="00780A9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64977"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Platforma Transferu Technologii staje się centrum wiedzy o nowoczesnych technologiach dla</w:t>
      </w:r>
      <w:r w:rsidR="00A222E3">
        <w:rPr>
          <w:rFonts w:ascii="Tahoma" w:hAnsi="Tahoma" w:cs="Tahoma"/>
          <w:bCs/>
          <w:i/>
          <w:sz w:val="20"/>
          <w:szCs w:val="20"/>
          <w:lang w:val="pl-PL"/>
        </w:rPr>
        <w:t> 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polskiego przemysłu. Cieszymy się, że do PTT dołącza kolejna duża spółka zainteresowana wdra</w:t>
      </w:r>
      <w:r w:rsidR="00E62B1D" w:rsidRPr="00E64977">
        <w:rPr>
          <w:rFonts w:ascii="Tahoma" w:hAnsi="Tahoma" w:cs="Tahoma"/>
          <w:bCs/>
          <w:i/>
          <w:sz w:val="20"/>
          <w:szCs w:val="20"/>
          <w:lang w:val="pl-PL"/>
        </w:rPr>
        <w:t xml:space="preserve">żaniem innowacyjnych rozwiązań. 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>Obecność PKP CARGO</w:t>
      </w:r>
      <w:r w:rsidR="005D32E8" w:rsidRPr="00E64977">
        <w:rPr>
          <w:rFonts w:ascii="Tahoma" w:hAnsi="Tahoma" w:cs="Tahoma"/>
          <w:bCs/>
          <w:i/>
          <w:sz w:val="20"/>
          <w:szCs w:val="20"/>
          <w:lang w:val="pl-PL"/>
        </w:rPr>
        <w:t xml:space="preserve"> na Platformie, jako biorcy poszukującego</w:t>
      </w:r>
      <w:r w:rsidRPr="00E64977">
        <w:rPr>
          <w:rFonts w:ascii="Tahoma" w:hAnsi="Tahoma" w:cs="Tahoma"/>
          <w:bCs/>
          <w:i/>
          <w:sz w:val="20"/>
          <w:szCs w:val="20"/>
          <w:lang w:val="pl-PL"/>
        </w:rPr>
        <w:t xml:space="preserve"> nowych rozwiązań to szansa dla małych i średnich przedsiębiorstw, a także instytutów naukowych na komercjalizację swoich prac</w:t>
      </w:r>
      <w:r w:rsidRPr="00E64977">
        <w:rPr>
          <w:rFonts w:ascii="Tahoma" w:hAnsi="Tahoma" w:cs="Tahoma"/>
          <w:bCs/>
          <w:sz w:val="20"/>
          <w:szCs w:val="20"/>
          <w:lang w:val="pl-PL"/>
        </w:rPr>
        <w:t xml:space="preserve"> – mówi Patrycja Zielińska, wiceprezes </w:t>
      </w:r>
      <w:r w:rsidRPr="00780A93">
        <w:rPr>
          <w:rFonts w:ascii="Tahoma" w:hAnsi="Tahoma" w:cs="Tahoma"/>
          <w:bCs/>
          <w:sz w:val="20"/>
          <w:szCs w:val="20"/>
          <w:lang w:val="pl-PL"/>
        </w:rPr>
        <w:t>ARP S.A.</w:t>
      </w:r>
    </w:p>
    <w:p w:rsidR="00780A93" w:rsidRPr="00780A93" w:rsidRDefault="00EB260D" w:rsidP="00780A93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Włączenie się w rozwój PTT jest jednym z kilku działań PKP </w:t>
      </w:r>
      <w:r>
        <w:rPr>
          <w:rFonts w:ascii="Tahoma" w:hAnsi="Tahoma" w:cs="Tahoma"/>
          <w:bCs/>
          <w:sz w:val="20"/>
          <w:szCs w:val="20"/>
          <w:lang w:val="pl-PL"/>
        </w:rPr>
        <w:t>CARGO w zakresie poszukiwania i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wdrażania innowacyjnych rozwiązań. W sierpniu 2015 r</w:t>
      </w:r>
      <w:r>
        <w:rPr>
          <w:rFonts w:ascii="Tahoma" w:hAnsi="Tahoma" w:cs="Tahoma"/>
          <w:bCs/>
          <w:sz w:val="20"/>
          <w:szCs w:val="20"/>
          <w:lang w:val="pl-PL"/>
        </w:rPr>
        <w:t>oku PKP CARGO podpisało umowę z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Narodowym Centrum Badań i Rozwoju. Na jej podstawie strony zainwestują 30 mln zł w nowe technologie dla transportu kolejowego</w:t>
      </w:r>
      <w:r w:rsidR="00780A93" w:rsidRPr="00780A93">
        <w:rPr>
          <w:rFonts w:ascii="Tahoma" w:hAnsi="Tahoma" w:cs="Tahoma"/>
          <w:bCs/>
          <w:sz w:val="20"/>
          <w:szCs w:val="20"/>
          <w:lang w:val="pl-PL"/>
        </w:rPr>
        <w:t xml:space="preserve">. </w:t>
      </w:r>
    </w:p>
    <w:p w:rsidR="00EB260D" w:rsidRPr="00EB260D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Innowacje znajdują na co dzień zastosowanie w biznesie największego polskiego przewoźnika towarowego. Kilkanaście miesięcy temu PKP CARGO wprowadziło możliwość korzystania z e-faktury oraz Elektronicznego Listu Przewozowego, czyli usługi zgłaszania danych do listu przewozowego przez Internet. Oba rozwiązania zmniejszają ilość papierowych dokumentów przetwarzanych w firmie, usprawniając obsługę sprzedażową i posprzedażową klientów. Rozwijane są także rozwiązania wspierające proces logistyczny i usprawniające zarządzanie pracą </w:t>
      </w:r>
      <w:r>
        <w:rPr>
          <w:rFonts w:ascii="Tahoma" w:hAnsi="Tahoma" w:cs="Tahoma"/>
          <w:bCs/>
          <w:sz w:val="20"/>
          <w:szCs w:val="20"/>
          <w:lang w:val="pl-PL"/>
        </w:rPr>
        <w:t>drużyn trakcyjnych, lokomotyw i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wagonów. Zamontowane na lokomotywach PKP CARGO moduły GPS pozwalają klientom śledzić na</w:t>
      </w:r>
      <w:r w:rsidR="00112320">
        <w:rPr>
          <w:rFonts w:ascii="Tahoma" w:hAnsi="Tahoma" w:cs="Tahoma"/>
          <w:bCs/>
          <w:sz w:val="20"/>
          <w:szCs w:val="20"/>
          <w:lang w:val="pl-PL"/>
        </w:rPr>
        <w:t>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bieżąco pozycję obsługującego ich pociągu. W zakresie bezpieczeństwa przesyłek PKP CARGO podjęło decyzję o wykorzystaniu </w:t>
      </w:r>
      <w:proofErr w:type="spellStart"/>
      <w:r w:rsidRPr="00EB260D">
        <w:rPr>
          <w:rFonts w:ascii="Tahoma" w:hAnsi="Tahoma" w:cs="Tahoma"/>
          <w:bCs/>
          <w:sz w:val="20"/>
          <w:szCs w:val="20"/>
          <w:lang w:val="pl-PL"/>
        </w:rPr>
        <w:t>dronów</w:t>
      </w:r>
      <w:proofErr w:type="spellEnd"/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 do śledzenia pociągów.</w:t>
      </w:r>
    </w:p>
    <w:p w:rsidR="00EB260D" w:rsidRPr="00EB260D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>PKP CARGO planuje w dalszym ciągu wdrażać do swojego biznesu innowacyjne rozwiązania. Dzięki podnoszeniu jakości usług i bezpieczeństwa przez wykorzystanie odpowiednich rozwiązań technologicznych, spółka ma jeszcze większą szansę na ugruntowanie swojej pozycji jako</w:t>
      </w:r>
      <w:r w:rsidR="00112320">
        <w:rPr>
          <w:rFonts w:ascii="Tahoma" w:hAnsi="Tahoma" w:cs="Tahoma"/>
          <w:bCs/>
          <w:sz w:val="20"/>
          <w:szCs w:val="20"/>
          <w:lang w:val="pl-PL"/>
        </w:rPr>
        <w:t> </w:t>
      </w:r>
      <w:bookmarkStart w:id="0" w:name="_GoBack"/>
      <w:bookmarkEnd w:id="0"/>
      <w:r w:rsidRPr="00EB260D">
        <w:rPr>
          <w:rFonts w:ascii="Tahoma" w:hAnsi="Tahoma" w:cs="Tahoma"/>
          <w:bCs/>
          <w:sz w:val="20"/>
          <w:szCs w:val="20"/>
          <w:lang w:val="pl-PL"/>
        </w:rPr>
        <w:t>zintegrowanego operatora logistycznego o europejskim zasięgu.</w:t>
      </w:r>
    </w:p>
    <w:p w:rsidR="00677AF8" w:rsidRPr="00422899" w:rsidRDefault="00EB260D" w:rsidP="00EB260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udziałem w rynku przekraczającym 56 proc. w ujęciu pracy przewozowej (I półrocze 2015). Oprócz przewozów towarów koleją, Grupa PKP CARGO jest również spedytorem oraz operatorem terminali i bocznic. Zajmuje się</w:t>
      </w:r>
      <w:r w:rsidR="00A222E3">
        <w:rPr>
          <w:rFonts w:ascii="Tahoma" w:hAnsi="Tahoma" w:cs="Tahoma"/>
          <w:bCs/>
          <w:sz w:val="20"/>
          <w:szCs w:val="20"/>
          <w:lang w:val="pl-PL"/>
        </w:rPr>
        <w:t>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też naprawą i utrzymaniem taboru kolejowego</w:t>
      </w:r>
      <w:r w:rsidR="00677AF8" w:rsidRPr="00677AF8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780A93" w:rsidRDefault="00780A93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:rsidR="00EB5668" w:rsidRPr="00932927" w:rsidRDefault="00D1744E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Default="00D1744E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780A93" w:rsidRDefault="00780A93" w:rsidP="00EB5668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</w:p>
    <w:p w:rsidR="00780A93" w:rsidRPr="00780A93" w:rsidRDefault="00780A93" w:rsidP="00780A93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780A93">
        <w:rPr>
          <w:rFonts w:ascii="Tahoma" w:hAnsi="Tahoma" w:cs="Tahoma"/>
          <w:b/>
          <w:sz w:val="20"/>
          <w:szCs w:val="22"/>
          <w:lang w:val="pl-PL"/>
        </w:rPr>
        <w:t xml:space="preserve">Joanna Zakrzewska </w:t>
      </w:r>
    </w:p>
    <w:p w:rsidR="00780A93" w:rsidRPr="00780A93" w:rsidRDefault="00780A93" w:rsidP="00780A93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780A93">
        <w:rPr>
          <w:rFonts w:ascii="Tahoma" w:hAnsi="Tahoma" w:cs="Tahoma"/>
          <w:sz w:val="20"/>
          <w:szCs w:val="22"/>
          <w:lang w:val="pl-PL"/>
        </w:rPr>
        <w:t>Rzecznik Prasowy ARP S.A.</w:t>
      </w:r>
    </w:p>
    <w:p w:rsidR="00780A93" w:rsidRPr="00780A93" w:rsidRDefault="00780A93" w:rsidP="00780A93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780A93">
        <w:rPr>
          <w:rFonts w:ascii="Tahoma" w:hAnsi="Tahoma" w:cs="Tahoma"/>
          <w:sz w:val="20"/>
          <w:szCs w:val="22"/>
          <w:lang w:val="pl-PL"/>
        </w:rPr>
        <w:t xml:space="preserve">Departament Public Relations i Relacji Inwestorskich </w:t>
      </w:r>
    </w:p>
    <w:p w:rsidR="00780A93" w:rsidRPr="00780A93" w:rsidRDefault="00780A93" w:rsidP="00780A93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780A93">
        <w:rPr>
          <w:rFonts w:ascii="Tahoma" w:hAnsi="Tahoma" w:cs="Tahoma"/>
          <w:sz w:val="20"/>
          <w:szCs w:val="22"/>
          <w:lang w:val="pl-PL"/>
        </w:rPr>
        <w:t>(+48) 723 633 794</w:t>
      </w:r>
    </w:p>
    <w:p w:rsidR="00780A93" w:rsidRPr="00780A93" w:rsidRDefault="00780A93" w:rsidP="00780A93">
      <w:pPr>
        <w:spacing w:line="276" w:lineRule="auto"/>
        <w:jc w:val="both"/>
        <w:rPr>
          <w:rStyle w:val="Hipercze"/>
          <w:rFonts w:ascii="Tahoma" w:hAnsi="Tahoma" w:cs="Tahoma"/>
          <w:sz w:val="20"/>
          <w:szCs w:val="22"/>
          <w:lang w:val="pl-PL"/>
        </w:rPr>
      </w:pPr>
      <w:r w:rsidRPr="00780A93">
        <w:rPr>
          <w:rStyle w:val="Hipercze"/>
          <w:rFonts w:ascii="Tahoma" w:hAnsi="Tahoma" w:cs="Tahoma"/>
          <w:sz w:val="20"/>
          <w:szCs w:val="22"/>
          <w:lang w:val="pl-PL"/>
        </w:rPr>
        <w:t>rzecznik@arp.pl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4"/>
      <w:footerReference w:type="default" r:id="rId15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4E" w:rsidRDefault="00D1744E" w:rsidP="000650FD">
      <w:r>
        <w:separator/>
      </w:r>
    </w:p>
  </w:endnote>
  <w:endnote w:type="continuationSeparator" w:id="0">
    <w:p w:rsidR="00D1744E" w:rsidRDefault="00D1744E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90352" wp14:editId="17D16E42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4E" w:rsidRDefault="00D1744E" w:rsidP="000650FD">
      <w:r>
        <w:separator/>
      </w:r>
    </w:p>
  </w:footnote>
  <w:footnote w:type="continuationSeparator" w:id="0">
    <w:p w:rsidR="00D1744E" w:rsidRDefault="00D1744E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4C775B1" wp14:editId="52FAEAA8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51B39"/>
    <w:rsid w:val="00060228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023C"/>
    <w:rsid w:val="000C30C7"/>
    <w:rsid w:val="000C3FDE"/>
    <w:rsid w:val="000D1378"/>
    <w:rsid w:val="000D536A"/>
    <w:rsid w:val="000F0830"/>
    <w:rsid w:val="000F700D"/>
    <w:rsid w:val="0010630F"/>
    <w:rsid w:val="00112320"/>
    <w:rsid w:val="00122F33"/>
    <w:rsid w:val="00132632"/>
    <w:rsid w:val="00134659"/>
    <w:rsid w:val="001376DC"/>
    <w:rsid w:val="00140AE2"/>
    <w:rsid w:val="00144B72"/>
    <w:rsid w:val="001601B9"/>
    <w:rsid w:val="0017774D"/>
    <w:rsid w:val="001958CB"/>
    <w:rsid w:val="001A559E"/>
    <w:rsid w:val="001D573F"/>
    <w:rsid w:val="001E24B0"/>
    <w:rsid w:val="002373F8"/>
    <w:rsid w:val="00242E4E"/>
    <w:rsid w:val="00256C20"/>
    <w:rsid w:val="00262320"/>
    <w:rsid w:val="00262956"/>
    <w:rsid w:val="002820B5"/>
    <w:rsid w:val="00282CCE"/>
    <w:rsid w:val="00290EB9"/>
    <w:rsid w:val="00291DA6"/>
    <w:rsid w:val="002A78F7"/>
    <w:rsid w:val="002B6DCD"/>
    <w:rsid w:val="002F2713"/>
    <w:rsid w:val="002F3EC0"/>
    <w:rsid w:val="002F48CD"/>
    <w:rsid w:val="0030636B"/>
    <w:rsid w:val="00315C45"/>
    <w:rsid w:val="00324C9E"/>
    <w:rsid w:val="0034529D"/>
    <w:rsid w:val="00353512"/>
    <w:rsid w:val="003605E7"/>
    <w:rsid w:val="00382A67"/>
    <w:rsid w:val="00394C8F"/>
    <w:rsid w:val="003A2415"/>
    <w:rsid w:val="003A37EC"/>
    <w:rsid w:val="003A47D5"/>
    <w:rsid w:val="003A6E03"/>
    <w:rsid w:val="003D3A12"/>
    <w:rsid w:val="003E1A1D"/>
    <w:rsid w:val="003E2F48"/>
    <w:rsid w:val="003E6320"/>
    <w:rsid w:val="003E795B"/>
    <w:rsid w:val="00404EBF"/>
    <w:rsid w:val="00422899"/>
    <w:rsid w:val="00425BCF"/>
    <w:rsid w:val="00441AE1"/>
    <w:rsid w:val="00482E84"/>
    <w:rsid w:val="00494876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4F03"/>
    <w:rsid w:val="005369A1"/>
    <w:rsid w:val="00552A57"/>
    <w:rsid w:val="00552E43"/>
    <w:rsid w:val="00552FBE"/>
    <w:rsid w:val="0056337C"/>
    <w:rsid w:val="005A1ADE"/>
    <w:rsid w:val="005B499F"/>
    <w:rsid w:val="005C0B92"/>
    <w:rsid w:val="005D094D"/>
    <w:rsid w:val="005D32E8"/>
    <w:rsid w:val="005F4566"/>
    <w:rsid w:val="00601731"/>
    <w:rsid w:val="00631191"/>
    <w:rsid w:val="006320F7"/>
    <w:rsid w:val="00633635"/>
    <w:rsid w:val="006451F8"/>
    <w:rsid w:val="00653CBC"/>
    <w:rsid w:val="00656DB2"/>
    <w:rsid w:val="006579EF"/>
    <w:rsid w:val="00677AF8"/>
    <w:rsid w:val="00684C2B"/>
    <w:rsid w:val="00686FB0"/>
    <w:rsid w:val="00692592"/>
    <w:rsid w:val="00695CE3"/>
    <w:rsid w:val="006B45FB"/>
    <w:rsid w:val="006B5272"/>
    <w:rsid w:val="006C5414"/>
    <w:rsid w:val="006D53AC"/>
    <w:rsid w:val="006E371D"/>
    <w:rsid w:val="006E79B5"/>
    <w:rsid w:val="006F469A"/>
    <w:rsid w:val="00733EAB"/>
    <w:rsid w:val="00762CA8"/>
    <w:rsid w:val="00764653"/>
    <w:rsid w:val="00776E04"/>
    <w:rsid w:val="00780A93"/>
    <w:rsid w:val="00786651"/>
    <w:rsid w:val="00791D76"/>
    <w:rsid w:val="00796492"/>
    <w:rsid w:val="007D3E41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5773"/>
    <w:rsid w:val="00890B57"/>
    <w:rsid w:val="008A1DFE"/>
    <w:rsid w:val="008A7E95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60714"/>
    <w:rsid w:val="00963164"/>
    <w:rsid w:val="00980517"/>
    <w:rsid w:val="00982B9C"/>
    <w:rsid w:val="009A715C"/>
    <w:rsid w:val="009B2B61"/>
    <w:rsid w:val="009D394C"/>
    <w:rsid w:val="009D4448"/>
    <w:rsid w:val="009E145F"/>
    <w:rsid w:val="009E3BF3"/>
    <w:rsid w:val="00A01714"/>
    <w:rsid w:val="00A1085A"/>
    <w:rsid w:val="00A15A51"/>
    <w:rsid w:val="00A222E3"/>
    <w:rsid w:val="00A45B93"/>
    <w:rsid w:val="00A84610"/>
    <w:rsid w:val="00AA4B41"/>
    <w:rsid w:val="00AB63C7"/>
    <w:rsid w:val="00AB7528"/>
    <w:rsid w:val="00AC224A"/>
    <w:rsid w:val="00AD71CD"/>
    <w:rsid w:val="00AF1776"/>
    <w:rsid w:val="00B0377E"/>
    <w:rsid w:val="00B050C1"/>
    <w:rsid w:val="00B07D8B"/>
    <w:rsid w:val="00B32CEB"/>
    <w:rsid w:val="00B342F1"/>
    <w:rsid w:val="00BD0E55"/>
    <w:rsid w:val="00BD3CD4"/>
    <w:rsid w:val="00BF7016"/>
    <w:rsid w:val="00C12285"/>
    <w:rsid w:val="00C15665"/>
    <w:rsid w:val="00C369B6"/>
    <w:rsid w:val="00C42006"/>
    <w:rsid w:val="00C7668C"/>
    <w:rsid w:val="00C913CD"/>
    <w:rsid w:val="00CD2CE3"/>
    <w:rsid w:val="00CE489B"/>
    <w:rsid w:val="00D01348"/>
    <w:rsid w:val="00D1744E"/>
    <w:rsid w:val="00D17520"/>
    <w:rsid w:val="00D20134"/>
    <w:rsid w:val="00D45D2D"/>
    <w:rsid w:val="00D64F04"/>
    <w:rsid w:val="00D91476"/>
    <w:rsid w:val="00DA743D"/>
    <w:rsid w:val="00DB27BC"/>
    <w:rsid w:val="00DC118B"/>
    <w:rsid w:val="00DE4461"/>
    <w:rsid w:val="00DE6F7B"/>
    <w:rsid w:val="00E011A7"/>
    <w:rsid w:val="00E15A30"/>
    <w:rsid w:val="00E330C3"/>
    <w:rsid w:val="00E43EDA"/>
    <w:rsid w:val="00E4611A"/>
    <w:rsid w:val="00E62B1D"/>
    <w:rsid w:val="00E64977"/>
    <w:rsid w:val="00E65BC7"/>
    <w:rsid w:val="00E66A36"/>
    <w:rsid w:val="00EA21D5"/>
    <w:rsid w:val="00EB12FB"/>
    <w:rsid w:val="00EB260D"/>
    <w:rsid w:val="00EB27BC"/>
    <w:rsid w:val="00EB4715"/>
    <w:rsid w:val="00EB5668"/>
    <w:rsid w:val="00EC7299"/>
    <w:rsid w:val="00ED1DF7"/>
    <w:rsid w:val="00ED4B96"/>
    <w:rsid w:val="00ED4D70"/>
    <w:rsid w:val="00EE7886"/>
    <w:rsid w:val="00EF65C6"/>
    <w:rsid w:val="00F029AE"/>
    <w:rsid w:val="00F1726B"/>
    <w:rsid w:val="00F223EC"/>
    <w:rsid w:val="00F32922"/>
    <w:rsid w:val="00F35E10"/>
    <w:rsid w:val="00F43AF9"/>
    <w:rsid w:val="00F76F5F"/>
    <w:rsid w:val="00F77720"/>
    <w:rsid w:val="00F8401B"/>
    <w:rsid w:val="00F94893"/>
    <w:rsid w:val="00F97CA7"/>
    <w:rsid w:val="00FA01A8"/>
    <w:rsid w:val="00FE1BFD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6800C5-0AD6-44D5-B9BD-6E93F5BF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18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CCG</cp:lastModifiedBy>
  <cp:revision>4</cp:revision>
  <cp:lastPrinted>2015-10-06T09:02:00Z</cp:lastPrinted>
  <dcterms:created xsi:type="dcterms:W3CDTF">2015-10-06T09:30:00Z</dcterms:created>
  <dcterms:modified xsi:type="dcterms:W3CDTF">2015-10-06T09:56:00Z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